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0C" w:rsidRPr="00CB7D0C" w:rsidRDefault="00CB7D0C" w:rsidP="00CB7D0C">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CB7D0C">
        <w:rPr>
          <w:rFonts w:ascii="微软雅黑" w:eastAsia="微软雅黑" w:hAnsi="微软雅黑" w:cs="宋体" w:hint="eastAsia"/>
          <w:color w:val="333333"/>
          <w:spacing w:val="8"/>
          <w:kern w:val="0"/>
          <w:sz w:val="33"/>
          <w:szCs w:val="33"/>
        </w:rPr>
        <w:t>项目规划、工程设计、工程咨询收费标准汇总</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微软雅黑" w:eastAsia="微软雅黑" w:hAnsi="微软雅黑" w:cs="宋体"/>
          <w:color w:val="333333"/>
          <w:spacing w:val="8"/>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B7D0C">
        <w:rPr>
          <w:rFonts w:ascii="微软雅黑" w:eastAsia="微软雅黑" w:hAnsi="微软雅黑" w:cs="宋体"/>
          <w:color w:val="333333"/>
          <w:spacing w:val="8"/>
          <w:kern w:val="0"/>
          <w:sz w:val="24"/>
          <w:szCs w:val="24"/>
        </w:rPr>
        <w:pict>
          <v:shape id="_x0000_i1026" type="#_x0000_t75" alt="" style="width:24pt;height:24pt"/>
        </w:pict>
      </w:r>
      <w:r w:rsidRPr="00CB7D0C">
        <w:rPr>
          <w:rFonts w:ascii="微软雅黑" w:eastAsia="微软雅黑" w:hAnsi="微软雅黑" w:cs="宋体"/>
          <w:color w:val="333333"/>
          <w:spacing w:val="8"/>
          <w:kern w:val="0"/>
          <w:sz w:val="24"/>
          <w:szCs w:val="24"/>
        </w:rPr>
        <w:pict>
          <v:shape id="_x0000_i1027" type="#_x0000_t75" alt="" style="width:24pt;height:24pt"/>
        </w:pict>
      </w:r>
    </w:p>
    <w:p w:rsidR="00CB7D0C" w:rsidRPr="00CB7D0C" w:rsidRDefault="00CB7D0C" w:rsidP="00CB7D0C">
      <w:pPr>
        <w:widowControl/>
        <w:shd w:val="clear" w:color="auto" w:fill="FFFFFF"/>
        <w:spacing w:line="495" w:lineRule="atLeast"/>
        <w:jc w:val="center"/>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第一部分  城市规划设计收费标准</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 说明</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1.1.1 本《标准》所提出的各项计费基于建设部颁布的《城市规划编制办法》及相关规定对规划设计内容、深度的要求而制定，如果委托方要求增加或减少内容、深度，计费应相应增减。</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1.1.2 规划设计所需要的基础资料及地形图（含电子文件），应由委托方提供。如需要由我院承担调查收集基础资料工作，委托方应支付相应费用。</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1.1.3 我院应向委托方提供初步方案（含论证材料）15套；规划文本6套；彩色图纸一套。如委托方要求增加份数，则应另行支付成本费。</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1.1.4 规划文本电子文件及版权归我院所有。如委托方要求我院提供电子文件或版权，应支付相应费用。</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1.1.5 委托方应按进度分期支付城市规划设计费。在规划设计委托合同签订后3日内，支付规划设计费总额的20%作为定金：规划设计方案确定后3日内，支付40%的规划设计费：提交全部规划设计成果时，结清全部费用。</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1.2 城市发展战略规划及概念规划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1.2.1 城市发展战略规划及概念规划计费基价为15万元。</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1.2.2 城市发展战略规划及概念规划分别按同等城市总体规划及相应规划阶段规划收费的50%计费。</w:t>
      </w:r>
    </w:p>
    <w:p w:rsidR="00CB7D0C" w:rsidRDefault="00CB7D0C" w:rsidP="00CB7D0C">
      <w:pPr>
        <w:widowControl/>
        <w:shd w:val="clear" w:color="auto" w:fill="FFFFFF"/>
        <w:spacing w:line="495" w:lineRule="atLeast"/>
        <w:rPr>
          <w:rFonts w:ascii="宋体" w:eastAsia="宋体" w:hAnsi="宋体" w:cs="宋体" w:hint="eastAsia"/>
          <w:color w:val="333333"/>
          <w:spacing w:val="8"/>
          <w:kern w:val="0"/>
          <w:sz w:val="23"/>
          <w:szCs w:val="23"/>
        </w:rPr>
      </w:pPr>
      <w:r w:rsidRPr="00CB7D0C">
        <w:rPr>
          <w:rFonts w:ascii="宋体" w:eastAsia="宋体" w:hAnsi="宋体" w:cs="宋体" w:hint="eastAsia"/>
          <w:color w:val="333333"/>
          <w:spacing w:val="8"/>
          <w:kern w:val="0"/>
          <w:sz w:val="23"/>
          <w:szCs w:val="23"/>
        </w:rPr>
        <w:t>1.2.3 非城市地区战略发展规划，以规划范围中的规划建设用地为计费依据，按1万/平方千米计费。</w:t>
      </w:r>
    </w:p>
    <w:p w:rsidR="00CB7D0C" w:rsidRDefault="00CB7D0C" w:rsidP="00CB7D0C">
      <w:pPr>
        <w:widowControl/>
        <w:shd w:val="clear" w:color="auto" w:fill="FFFFFF"/>
        <w:spacing w:line="495" w:lineRule="atLeast"/>
        <w:rPr>
          <w:rFonts w:ascii="宋体" w:eastAsia="宋体" w:hAnsi="宋体" w:cs="宋体" w:hint="eastAsia"/>
          <w:color w:val="333333"/>
          <w:spacing w:val="8"/>
          <w:kern w:val="0"/>
          <w:sz w:val="23"/>
          <w:szCs w:val="23"/>
        </w:rPr>
      </w:pPr>
    </w:p>
    <w:p w:rsidR="00CB7D0C" w:rsidRDefault="00CB7D0C" w:rsidP="00CB7D0C">
      <w:pPr>
        <w:widowControl/>
        <w:shd w:val="clear" w:color="auto" w:fill="FFFFFF"/>
        <w:spacing w:line="495" w:lineRule="atLeast"/>
        <w:rPr>
          <w:rFonts w:ascii="宋体" w:eastAsia="宋体" w:hAnsi="宋体" w:cs="宋体" w:hint="eastAsia"/>
          <w:color w:val="333333"/>
          <w:spacing w:val="8"/>
          <w:kern w:val="0"/>
          <w:sz w:val="23"/>
          <w:szCs w:val="23"/>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lastRenderedPageBreak/>
        <w:t>1.3 城市总体规划</w:t>
      </w:r>
    </w:p>
    <w:tbl>
      <w:tblPr>
        <w:tblW w:w="10155" w:type="dxa"/>
        <w:tblCellMar>
          <w:left w:w="0" w:type="dxa"/>
          <w:right w:w="0" w:type="dxa"/>
        </w:tblCellMar>
        <w:tblLook w:val="04A0"/>
      </w:tblPr>
      <w:tblGrid>
        <w:gridCol w:w="649"/>
        <w:gridCol w:w="1505"/>
        <w:gridCol w:w="1894"/>
        <w:gridCol w:w="6107"/>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城市规模（万人）</w:t>
            </w:r>
          </w:p>
        </w:tc>
        <w:tc>
          <w:tcPr>
            <w:tcW w:w="12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计费单价（万元/平方千米）</w:t>
            </w:r>
          </w:p>
        </w:tc>
        <w:tc>
          <w:tcPr>
            <w:tcW w:w="41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小城市（20以下）</w:t>
            </w:r>
          </w:p>
        </w:tc>
        <w:tc>
          <w:tcPr>
            <w:tcW w:w="12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3.5</w:t>
            </w:r>
          </w:p>
        </w:tc>
        <w:tc>
          <w:tcPr>
            <w:tcW w:w="4140"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1、本计费中的城市分类，按照《城市规划法》所规定的特大城市、大城市、中等城市、小城市标准区分，不含乡镇规划。</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2、表中人口规模以规划期末人口为准。</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3、城市总体规划按规划人口规模分档，并按实际规划用地面积计算规划费。</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4、本计费不含单独编制的城镇体系规划。</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5、单独编制城市总体规划纲要的，按总体规划设计费的50%计费。</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6、城市总体规划计费基价为35万元。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7、在编制城市总体规划中，如需要进行相关专题研究，应单独计费。计费为：特大城市30万元/每个，大城市20万元/每个，中等城市15万元/每个，小城市10万元/每个。</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8、编制城市总体规划，各阶段工作量划分比例为：现状调研阶段30%，方案阶段40%，成果制作阶段30%。</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9、总体规划调研和考察费用由双方商定。委托单位组织的，费用由委托单位承担；我院自行组织的，费用由我院自行解决。</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中等城市（20~50）</w:t>
            </w:r>
          </w:p>
        </w:tc>
        <w:tc>
          <w:tcPr>
            <w:tcW w:w="12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大城市（50~100）</w:t>
            </w:r>
          </w:p>
        </w:tc>
        <w:tc>
          <w:tcPr>
            <w:tcW w:w="12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2.5</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特大城市（100以上）</w:t>
            </w:r>
          </w:p>
        </w:tc>
        <w:tc>
          <w:tcPr>
            <w:tcW w:w="12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1.4分区规划</w:t>
      </w:r>
    </w:p>
    <w:tbl>
      <w:tblPr>
        <w:tblW w:w="10155" w:type="dxa"/>
        <w:tblCellMar>
          <w:left w:w="0" w:type="dxa"/>
          <w:right w:w="0" w:type="dxa"/>
        </w:tblCellMar>
        <w:tblLook w:val="04A0"/>
      </w:tblPr>
      <w:tblGrid>
        <w:gridCol w:w="646"/>
        <w:gridCol w:w="1444"/>
        <w:gridCol w:w="1937"/>
        <w:gridCol w:w="6128"/>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9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项目类别</w:t>
            </w:r>
          </w:p>
        </w:tc>
        <w:tc>
          <w:tcPr>
            <w:tcW w:w="13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计费单价（万元/平方千米）</w:t>
            </w:r>
          </w:p>
        </w:tc>
        <w:tc>
          <w:tcPr>
            <w:tcW w:w="417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435"/>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新区</w:t>
            </w: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4176"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1、城市建成区按照旧区计费，城市新区按照新区计费。</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2、有些地区在城市建设中进行的某些类似于分区规划深度的规划，按照城市新区计费。</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3、分区规划设计费基价为15万元。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4、编制分区规划，各阶段工作量划分比例为：现状调研阶段20%，方案阶段50%，成果制作阶段30%。</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旧城区</w:t>
            </w: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3.5</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1.5 详细规划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1.5.1 控制性详细规划</w:t>
      </w:r>
    </w:p>
    <w:tbl>
      <w:tblPr>
        <w:tblW w:w="10155" w:type="dxa"/>
        <w:tblCellMar>
          <w:left w:w="0" w:type="dxa"/>
          <w:right w:w="0" w:type="dxa"/>
        </w:tblCellMar>
        <w:tblLook w:val="04A0"/>
      </w:tblPr>
      <w:tblGrid>
        <w:gridCol w:w="646"/>
        <w:gridCol w:w="1444"/>
        <w:gridCol w:w="1937"/>
        <w:gridCol w:w="6128"/>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9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项目类别</w:t>
            </w:r>
          </w:p>
        </w:tc>
        <w:tc>
          <w:tcPr>
            <w:tcW w:w="13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（元/平公顷）</w:t>
            </w:r>
          </w:p>
        </w:tc>
        <w:tc>
          <w:tcPr>
            <w:tcW w:w="417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城市新区开发区</w:t>
            </w: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2500</w:t>
            </w:r>
          </w:p>
        </w:tc>
        <w:tc>
          <w:tcPr>
            <w:tcW w:w="4176"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1、表中计费单价不含分图则。如增加分图则，计费单价分别增加500元/公顷。</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2、如增加建筑形体方案示意，则计费单价分别增加2000元/公顷。</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3、控制性详细规划设计计费基价为10万元。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4、编制控制性详细规划，各阶段工作量划分比例：</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（1）建成区：现状调研阶段30%，方案阶段40%，成果制作阶段30%；如果增加分图则，工作量划分比例为：现状调研阶段25%，方案阶段40%，成果制作阶段35%。</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（2）新区：现状调研阶段15%，方案阶段50%，成果制作阶段35%；如果增加分图则，工作量划分比例为：现状调研阶段15%，方案阶段45%，成果制作阶段40%。</w:t>
            </w:r>
          </w:p>
        </w:tc>
      </w:tr>
      <w:tr w:rsidR="00CB7D0C" w:rsidRPr="00CB7D0C" w:rsidTr="00CB7D0C">
        <w:trPr>
          <w:trHeight w:val="1575"/>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城市一般地段</w:t>
            </w: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216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城市重点地段</w:t>
            </w: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3500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1.5.2 修建性详细规划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（1居住区）</w:t>
      </w:r>
    </w:p>
    <w:tbl>
      <w:tblPr>
        <w:tblW w:w="10155" w:type="dxa"/>
        <w:tblCellMar>
          <w:left w:w="0" w:type="dxa"/>
          <w:right w:w="0" w:type="dxa"/>
        </w:tblCellMar>
        <w:tblLook w:val="04A0"/>
      </w:tblPr>
      <w:tblGrid>
        <w:gridCol w:w="646"/>
        <w:gridCol w:w="1479"/>
        <w:gridCol w:w="1479"/>
        <w:gridCol w:w="6551"/>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用地规模（公顷）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计费单价（元/公顷）</w:t>
            </w:r>
          </w:p>
        </w:tc>
        <w:tc>
          <w:tcPr>
            <w:tcW w:w="446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9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20000</w:t>
            </w:r>
          </w:p>
        </w:tc>
        <w:tc>
          <w:tcPr>
            <w:tcW w:w="4464"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1、规划设计计费基价为5万元。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2、建筑单体为选型方案。如做建筑单体方案设计，则建筑方案费用另计。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3、委托单位如果要求制作效果图、模型等，则费用另计。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4、规划总平面方案每增加一个，委托方应增加30%的规划费用。</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5、委托单位如果需要进行修建性总平面设计，则增加50%的规划费用。</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6、委托单位如果需要进行项目策划及包装运作，则增加30%的规划费用。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3—10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15000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10—20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12000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20—30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9000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8000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（2）城市一般地段</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用地规模(公顷)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计费单价（元/公顷）</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20000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1、规划设计计费基价为5万元。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2、建筑单体为造型方案。如做建筑单体方案设计，则建筑方案费用另计。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3、委托单位如果要求制作效果图、模型等，则费用另计。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lastRenderedPageBreak/>
              <w:t>4、委托单位如果需要进行修建性总平面设计，则增加50%的规划费用。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3—10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18000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10—20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15000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20—30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12000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lastRenderedPageBreak/>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lastRenderedPageBreak/>
              <w:t>6</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9000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（3）城市重点地段、大型公建及周围地段</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项目类别</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计费单价（元/公顷）</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城市重点地段</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16000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1、规划设计计费基价为6万元。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2、大专院校、单位大院等按城市主要公建地段计费。</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3、建筑单体为选型方案。如做建筑单体方案设计，则建筑方案费用另计。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4、委托单位如果要求制作效果图、模型等，则费用另计。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5、委托单位如果需要进行修建性总平面设计，则增加50%的规划费用。</w:t>
            </w:r>
          </w:p>
        </w:tc>
      </w:tr>
      <w:tr w:rsidR="00CB7D0C" w:rsidRPr="00CB7D0C" w:rsidTr="00CB7D0C">
        <w:trPr>
          <w:trHeight w:val="45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大型公建</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18000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主要公建及周围地段</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18000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（4）公园、游乐场及其它园林规划</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用地面积（公顷）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计费单价（元/公顷）</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1—10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12000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1、规划设计计费基价为5万元。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2、委托单位如果要求制作效果图、模型等，则费用另计。</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10—20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9000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20—30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8000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7000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05"/>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szCs w:val="23"/>
        </w:rPr>
        <w:br/>
      </w:r>
      <w:r w:rsidRPr="00CB7D0C">
        <w:rPr>
          <w:rFonts w:ascii="宋体" w:eastAsia="宋体" w:hAnsi="宋体" w:cs="宋体" w:hint="eastAsia"/>
          <w:b/>
          <w:bCs/>
          <w:color w:val="333333"/>
          <w:spacing w:val="8"/>
          <w:kern w:val="0"/>
          <w:sz w:val="23"/>
        </w:rPr>
        <w:t>1.6 风景区规划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1.6.1 风景区规划大纲</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规模（平方千米）</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计费单价（元/平方千米）</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小于50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5000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1、规划设计计费基价为15万元。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2、本计费为单独编制风景区规划大纲计费。</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50—100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100—200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3500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200—500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2500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1500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1.6.2风景区总体规划</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规模（平方千米）</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计费单价（万元/平方千米）</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小于10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1.6</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1、规划设计计费基价为15万元。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2、风景区总体规划计费已包括风景区规划大纲的工作量。</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3、风景区总体规划的面积，应按实际规划用地面积计算。水面应按实际规划利用范围计算。</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10-20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1.4</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1.2</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50-100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0.8</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1.6.3风景区详细规划</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规模（公顷）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计费单价（元/公顷）</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小于20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11000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规划设计计费基价为15万元。</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50-100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9000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100-200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8000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1.7城镇体系规划</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规模（万人）</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计费单价（万元/万人）</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1.10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1、表中人口规模以规划期末区域总人口为准。</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2、都市圈、城镇群等类似规划，参照城镇体系规划的尝试和计费意见进行。</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3、在编制城镇体系规划中，如果需要进行相关专题研究，应单独计费。计费为：省域和区域为30万元/每个，特大城市为25万元/每个，大城市为20万元/每个，中等城市为15万元/每个，小城市为20万元/每个。</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4、规划设计计费基价为20万元。</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50-60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60-70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0.95</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70-80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0.90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80-90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0.85</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90-100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0.80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7</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100-200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0.75</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8</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0.70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1.8 旅游规划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1.8.1 旅游区总体规划                          表1.8-1</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规模（平方千米）</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计费单价（万元/平方千米）</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小于10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1.6</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1、规划设计计费基价为15万元。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2、旅游区总体规划的面积，应按实际规划用地面积计算。水面应按实际规划利用范围计算。</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10-20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1.4</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1.2</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50-100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0.8</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1.8.2 旅游区控制性详细规划                          表1.8-2</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项目类别</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计费单价（元/公顷）</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旅游区新区</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2500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1、控制性详细规划设计计费基价为8万元。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2、表中的计费单价不含分图则。如增加分图则，计费单价分别增加500元/公顷。</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3、如增加建筑形体方案示意，则计费单价分别增加2000元/公顷。</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旅游区一般地区</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旅游区重点区域</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3500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1.8.3 旅游区修建性详细规划                         表1.8-3</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规模（公顷）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计费单价（元/公顷）</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小于20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11000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1、规划设计计费基价为10万元。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2、建筑单体为选型方案。如做建筑单体方案设计，则建筑方案费用另计。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3、委托单位如果要求制作效果图、模型等，则费用另计。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4、规划总平面方案每增加一个，委托方应增加30%的规划费用。</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5、委托单位如果需要进行修建性总平面设计，则增加50%的规划费用。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50-100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9000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100-200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8000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1.8.4 旅游区实际规划  </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旅游区可根据实际需要，编制项目开发规划、旅游线路规划和旅游地建设规划、旅游营销规划、旅游区保护规划等功能性专项规划。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                                                  表1.8-4</w:t>
      </w:r>
    </w:p>
    <w:tbl>
      <w:tblPr>
        <w:tblW w:w="10155" w:type="dxa"/>
        <w:tblCellMar>
          <w:left w:w="0" w:type="dxa"/>
          <w:right w:w="0" w:type="dxa"/>
        </w:tblCellMar>
        <w:tblLook w:val="04A0"/>
      </w:tblPr>
      <w:tblGrid>
        <w:gridCol w:w="649"/>
        <w:gridCol w:w="1487"/>
        <w:gridCol w:w="1487"/>
        <w:gridCol w:w="6532"/>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规模（公顷）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计费单价（元/公顷）</w:t>
            </w:r>
          </w:p>
        </w:tc>
        <w:tc>
          <w:tcPr>
            <w:tcW w:w="4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小于20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8000</w:t>
            </w:r>
          </w:p>
        </w:tc>
        <w:tc>
          <w:tcPr>
            <w:tcW w:w="4428"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1、专项规划深度为国家相关专业规划编制办法所规定的深度。</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2、规划设计计费基价为10万元。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3、专项规划根据本表计费，结合各专项的具体情况乘以如下专业系数：项目开发规划为1.2；旅游线路规划为0.8；旅游地建设规划为1.0；旅游营销规划为1.0；旅游区保护规划为1.0。</w:t>
            </w: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20-50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50-100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4500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100-200</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3500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200以上</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2500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1.9 城市近期建设规划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1.9.1 单独编制城市近期建设规划，计费按城市总体规划计费的40％计取；如与城市总体规划同时编制，则按城市总体规划计费的30％计取。</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1.9.2 城市近期建设规划的规划费用小于20万元时，则按20万元计费。</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1.10 景观规划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1.10.1 景观规划指居住小区、城市街景景观、校园规划等城市各类景观专项规划。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1.10.2 环境景观规划按相应项目类别规划计费的40％收取规划设计费。</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1.10.3 景观规划设计详细规划，按公园、游乐场及其它园林详细规划计费单价执行。</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1.10.4 景观规划设计计费基价为8万元。</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1.11 城市设计</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1.11.1 单独编制城市设计，其计费为：总体规划、分区规划阶段按其规划设计计费的50％收取；控制性详细规划、修建性详细规划按其规划设计计费的60％收取；重点特殊项目根据实际工作量另议。</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1.11.2  不同规划阶段基础上增加城市设计内容，应在相应阶段的规划设计计费的基础上，增加30％～50％的规划设计费。</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1.12 小城镇总体规划（指县城以下的建制镇）</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1.12.1 编制小城镇总体规划时，应同时编制镇域村镇体系规划。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1.12.2 计费按规划建设用地4万元／平方千米计取。</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1.12.3 本计费含镇区总体规划和城镇村镇体系规划。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1.12.4 规划设计计费按规划末期的规划建成区用地面积计算。</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1.12.5 规划设计计费基价为15万元。</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1.12.6 如果进行专题研究，应单独计费，计费为5万元／每个。</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1.13 规划咨询</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1.13.1 本计费指各类规划咨询的计费，工程咨询按相关章节规定执行。</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1.13.2 规划咨询计费，按所从事的规划项目规划设计费的30%计取。</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1.13.3 专家咨询费为：教授级高工6000元/工日，高工4000元／工日，工程师3000元／工日。</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1.14编制标书</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1.14.1 编制标书，指我院为规划管理部门或其它业主进行规划标收制定的服务项目。</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1.14.2 编制标书计费，按所编制项目规划设计费的5％或10％计取。规划设计费在50万元以下的，按10％计取；规划设计费在50万元以上的，增加部分按5％计取。</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1.14.3 编制标书计费基价为2万元。</w:t>
      </w:r>
    </w:p>
    <w:p w:rsid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lastRenderedPageBreak/>
        <w:t>1.15 规划标底</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1.15.1 规划标底费，指业主进行规划招投标时，对未中标但符合投标要求投标方案所支付给我院的最低费用。</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1.15.2 规划标底费应按规划设计费30%计取。</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1.16 电子文件</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1.16.1 电子文件计费，指我院在规划成果完成时，将电子成果版权转让给委托单位进行的计费行为。</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1.16.2 电子文件计费，按所规划项目规划设计费的10%计取。</w:t>
      </w:r>
    </w:p>
    <w:p w:rsidR="00CB7D0C" w:rsidRDefault="00CB7D0C" w:rsidP="00CB7D0C">
      <w:pPr>
        <w:widowControl/>
        <w:shd w:val="clear" w:color="auto" w:fill="FFFFFF"/>
        <w:spacing w:line="495" w:lineRule="atLeast"/>
        <w:rPr>
          <w:rFonts w:ascii="宋体" w:eastAsia="宋体" w:hAnsi="宋体" w:cs="宋体" w:hint="eastAsia"/>
          <w:b/>
          <w:bCs/>
          <w:color w:val="333333"/>
          <w:spacing w:val="8"/>
          <w:kern w:val="0"/>
          <w:sz w:val="23"/>
        </w:rPr>
      </w:pP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1.17 城市单项专业规划</w:t>
      </w:r>
    </w:p>
    <w:p w:rsidR="00CB7D0C" w:rsidRPr="00CB7D0C" w:rsidRDefault="00CB7D0C" w:rsidP="00CB7D0C">
      <w:pPr>
        <w:widowControl/>
        <w:shd w:val="clear" w:color="auto" w:fill="FFFFFF"/>
        <w:spacing w:line="495"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专业规划特指给水、排水、供热、燃气、防洪、消防、电力、电信、环卫、抗震、人防、环境保护、绿地系统、道路工程、轨道交通、城市竖向、地下空间利用等规划。</w:t>
      </w:r>
    </w:p>
    <w:tbl>
      <w:tblPr>
        <w:tblW w:w="10155" w:type="dxa"/>
        <w:tblCellMar>
          <w:left w:w="0" w:type="dxa"/>
          <w:right w:w="0" w:type="dxa"/>
        </w:tblCellMar>
        <w:tblLook w:val="04A0"/>
      </w:tblPr>
      <w:tblGrid>
        <w:gridCol w:w="649"/>
        <w:gridCol w:w="1487"/>
        <w:gridCol w:w="1699"/>
        <w:gridCol w:w="6320"/>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城市规模（万人）</w:t>
            </w:r>
          </w:p>
        </w:tc>
        <w:tc>
          <w:tcPr>
            <w:tcW w:w="115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计费单价（万元/万人）</w:t>
            </w:r>
          </w:p>
        </w:tc>
        <w:tc>
          <w:tcPr>
            <w:tcW w:w="42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小城市（20以下）</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1.0</w:t>
            </w:r>
          </w:p>
        </w:tc>
        <w:tc>
          <w:tcPr>
            <w:tcW w:w="4284"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1、专项规划深度为国家相关专业规划编制办法所规定的深度。</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2、规划设计计费基价为15万元。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3、城市规模为城市总体规划确定的人口规模。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专业规划根据本表计费，结合各专业的具体情况乘以如下专业系数：防洪为1.1；抗震、人防为0.8；电力、电信、地下空间为0.9；排水、道路工程为1.2；环境保护为1.0；（如做生态环境保护内容为1.5）；其它为1.0。  </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5、城市综合防灾规划，在该计费单项的基础上乘以1.5的系数。</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中城市（20-50）</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0.9</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大城市（50-100）</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0.7</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特大城市（100以上）</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以60万元为基数，每增加10万人增加5万元规划设计费。</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lastRenderedPageBreak/>
        <w:t>1.18 城市综合交通规划</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                                                 表1.18-1</w:t>
      </w:r>
    </w:p>
    <w:tbl>
      <w:tblPr>
        <w:tblW w:w="10155" w:type="dxa"/>
        <w:tblCellMar>
          <w:left w:w="0" w:type="dxa"/>
          <w:right w:w="0" w:type="dxa"/>
        </w:tblCellMar>
        <w:tblLook w:val="04A0"/>
      </w:tblPr>
      <w:tblGrid>
        <w:gridCol w:w="649"/>
        <w:gridCol w:w="1487"/>
        <w:gridCol w:w="1699"/>
        <w:gridCol w:w="6320"/>
      </w:tblGrid>
      <w:tr w:rsidR="00CB7D0C" w:rsidRPr="00CB7D0C" w:rsidTr="00CB7D0C">
        <w:tc>
          <w:tcPr>
            <w:tcW w:w="3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城市规模（万人）</w:t>
            </w:r>
          </w:p>
        </w:tc>
        <w:tc>
          <w:tcPr>
            <w:tcW w:w="115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计费单价（万元/万人）</w:t>
            </w:r>
          </w:p>
        </w:tc>
        <w:tc>
          <w:tcPr>
            <w:tcW w:w="42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小城市（20以下）</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1.5</w:t>
            </w:r>
          </w:p>
        </w:tc>
        <w:tc>
          <w:tcPr>
            <w:tcW w:w="4284"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1、城市交通规划深度为国家规划编制办法所规定的深度。</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2、规划设计计费基价为15万元。</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3、城市规模为城市总体规划确定的人口规模。</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4、城市人口规模介于中间规模的城市，可采用播入法进行计算。  </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5、本计费未包括委托单位组织实施交通调查的工作量。</w:t>
            </w:r>
          </w:p>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6、城市交通发展战略规划计费，按照同等城市综合交通规划的70%收取。</w:t>
            </w: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中城市（20-50）</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1.5-1.8</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大城市（50-100）</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1.8-2.0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3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特大城市（100以上）</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360"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以200万元为基数，每增加1万人增加1万元规划设计费。</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1.19 单独编制历史文化名城（名镇）保护规划及文化遗产保护专项规划</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1、历史文化名城（名镇）保护规划，按2万元/平方千米计费。</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2、文化遗产保护专项规划，按0.8万元/公顷计费。</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3、历史文化名城（名镇）指列入省和国家保护的单位，历史文化遗迹指列入市级以上保护的单位。</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4、历史文化名城（名镇）保护规划必须按照《历史文化名城（名镇）保护规划条例及编制办法》的要求进行。</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5、规划设计计费基价为15万元。</w:t>
      </w: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lastRenderedPageBreak/>
        <w:t>1.20 单项市政工程规划</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1.20.1 城市道路规划                             表1.20-1</w:t>
      </w:r>
    </w:p>
    <w:tbl>
      <w:tblPr>
        <w:tblW w:w="10155" w:type="dxa"/>
        <w:tblCellMar>
          <w:left w:w="0" w:type="dxa"/>
          <w:right w:w="0" w:type="dxa"/>
        </w:tblCellMar>
        <w:tblLook w:val="04A0"/>
      </w:tblPr>
      <w:tblGrid>
        <w:gridCol w:w="1563"/>
        <w:gridCol w:w="1426"/>
        <w:gridCol w:w="1684"/>
        <w:gridCol w:w="1650"/>
        <w:gridCol w:w="3832"/>
      </w:tblGrid>
      <w:tr w:rsidR="00CB7D0C" w:rsidRPr="00CB7D0C" w:rsidTr="00CB7D0C">
        <w:tc>
          <w:tcPr>
            <w:tcW w:w="2088"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道路种类</w:t>
            </w:r>
          </w:p>
        </w:tc>
        <w:tc>
          <w:tcPr>
            <w:tcW w:w="117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红线宽度（米）</w:t>
            </w:r>
          </w:p>
        </w:tc>
        <w:tc>
          <w:tcPr>
            <w:tcW w:w="115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计费单价（元/公里）</w:t>
            </w:r>
          </w:p>
        </w:tc>
        <w:tc>
          <w:tcPr>
            <w:tcW w:w="267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备注</w:t>
            </w:r>
          </w:p>
        </w:tc>
      </w:tr>
      <w:tr w:rsidR="00CB7D0C" w:rsidRPr="00CB7D0C" w:rsidTr="00CB7D0C">
        <w:trPr>
          <w:trHeight w:val="390"/>
        </w:trPr>
        <w:tc>
          <w:tcPr>
            <w:tcW w:w="109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城市道路</w:t>
            </w: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主干道</w:t>
            </w:r>
          </w:p>
        </w:tc>
        <w:tc>
          <w:tcPr>
            <w:tcW w:w="11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w:t>
            </w: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12000</w:t>
            </w:r>
          </w:p>
        </w:tc>
        <w:tc>
          <w:tcPr>
            <w:tcW w:w="2676"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1、本定额不包括高速路、高架道路。</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2、场站规划按其内容及深度比照有关工程定额。</w:t>
            </w:r>
          </w:p>
        </w:tc>
      </w:tr>
      <w:tr w:rsidR="00CB7D0C" w:rsidRPr="00CB7D0C" w:rsidTr="00CB7D0C">
        <w:trPr>
          <w:trHeight w:val="390"/>
        </w:trPr>
        <w:tc>
          <w:tcPr>
            <w:tcW w:w="0" w:type="auto"/>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次干道</w:t>
            </w:r>
          </w:p>
        </w:tc>
        <w:tc>
          <w:tcPr>
            <w:tcW w:w="11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20~40以下</w:t>
            </w:r>
          </w:p>
        </w:tc>
        <w:tc>
          <w:tcPr>
            <w:tcW w:w="1152" w:type="dxa"/>
            <w:tcBorders>
              <w:top w:val="nil"/>
              <w:left w:val="nil"/>
              <w:bottom w:val="nil"/>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9000</w:t>
            </w:r>
          </w:p>
        </w:tc>
        <w:tc>
          <w:tcPr>
            <w:tcW w:w="0" w:type="auto"/>
            <w:vMerge/>
            <w:tcBorders>
              <w:top w:val="single" w:sz="6" w:space="0" w:color="auto"/>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2088"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郊区道路</w:t>
            </w:r>
          </w:p>
        </w:tc>
        <w:tc>
          <w:tcPr>
            <w:tcW w:w="11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11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6000</w:t>
            </w:r>
          </w:p>
        </w:tc>
        <w:tc>
          <w:tcPr>
            <w:tcW w:w="0" w:type="auto"/>
            <w:vMerge/>
            <w:tcBorders>
              <w:top w:val="single" w:sz="6" w:space="0" w:color="auto"/>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1.20.2 城市道路主要交叉口规划                   表1.20-2</w:t>
      </w:r>
    </w:p>
    <w:tbl>
      <w:tblPr>
        <w:tblW w:w="10155" w:type="dxa"/>
        <w:tblCellMar>
          <w:left w:w="0" w:type="dxa"/>
          <w:right w:w="0" w:type="dxa"/>
        </w:tblCellMar>
        <w:tblLook w:val="04A0"/>
      </w:tblPr>
      <w:tblGrid>
        <w:gridCol w:w="2444"/>
        <w:gridCol w:w="1411"/>
        <w:gridCol w:w="2186"/>
        <w:gridCol w:w="4114"/>
      </w:tblGrid>
      <w:tr w:rsidR="00CB7D0C" w:rsidRPr="00CB7D0C" w:rsidTr="00CB7D0C">
        <w:trPr>
          <w:trHeight w:val="390"/>
        </w:trPr>
        <w:tc>
          <w:tcPr>
            <w:tcW w:w="2688"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项目类别</w:t>
            </w:r>
          </w:p>
        </w:tc>
        <w:tc>
          <w:tcPr>
            <w:tcW w:w="152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计费单价（元/个）</w:t>
            </w:r>
          </w:p>
        </w:tc>
        <w:tc>
          <w:tcPr>
            <w:tcW w:w="286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2688"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城市主要平交口</w:t>
            </w:r>
          </w:p>
        </w:tc>
        <w:tc>
          <w:tcPr>
            <w:tcW w:w="15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7000</w:t>
            </w:r>
          </w:p>
        </w:tc>
        <w:tc>
          <w:tcPr>
            <w:tcW w:w="286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城市主要平交口指道路红线宽度40m以上的交叉口</w:t>
            </w:r>
          </w:p>
        </w:tc>
      </w:tr>
      <w:tr w:rsidR="00CB7D0C" w:rsidRPr="00CB7D0C" w:rsidTr="00CB7D0C">
        <w:trPr>
          <w:trHeight w:val="390"/>
        </w:trPr>
        <w:tc>
          <w:tcPr>
            <w:tcW w:w="170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立交</w:t>
            </w: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两层立交</w:t>
            </w:r>
          </w:p>
        </w:tc>
        <w:tc>
          <w:tcPr>
            <w:tcW w:w="15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28000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0" w:type="auto"/>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9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三层立交</w:t>
            </w:r>
          </w:p>
        </w:tc>
        <w:tc>
          <w:tcPr>
            <w:tcW w:w="1524" w:type="dxa"/>
            <w:tcBorders>
              <w:top w:val="nil"/>
              <w:left w:val="nil"/>
              <w:bottom w:val="nil"/>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2688"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地下过街道</w:t>
            </w:r>
          </w:p>
        </w:tc>
        <w:tc>
          <w:tcPr>
            <w:tcW w:w="15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12000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1.20.3 城市市政工程管线规划综合                 表1.20-3</w:t>
      </w:r>
    </w:p>
    <w:tbl>
      <w:tblPr>
        <w:tblW w:w="10155" w:type="dxa"/>
        <w:tblCellMar>
          <w:left w:w="0" w:type="dxa"/>
          <w:right w:w="0" w:type="dxa"/>
        </w:tblCellMar>
        <w:tblLook w:val="04A0"/>
      </w:tblPr>
      <w:tblGrid>
        <w:gridCol w:w="2391"/>
        <w:gridCol w:w="3553"/>
        <w:gridCol w:w="4211"/>
      </w:tblGrid>
      <w:tr w:rsidR="00CB7D0C" w:rsidRPr="00CB7D0C" w:rsidTr="00CB7D0C">
        <w:trPr>
          <w:trHeight w:val="390"/>
        </w:trPr>
        <w:tc>
          <w:tcPr>
            <w:tcW w:w="16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管线所处地段</w:t>
            </w:r>
          </w:p>
        </w:tc>
        <w:tc>
          <w:tcPr>
            <w:tcW w:w="24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计费单价（元/根/公里）</w:t>
            </w:r>
          </w:p>
        </w:tc>
        <w:tc>
          <w:tcPr>
            <w:tcW w:w="291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165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道路</w:t>
            </w:r>
          </w:p>
        </w:tc>
        <w:tc>
          <w:tcPr>
            <w:tcW w:w="24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1400</w:t>
            </w:r>
          </w:p>
        </w:tc>
        <w:tc>
          <w:tcPr>
            <w:tcW w:w="2916"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1、管线规划综合的长度按每种管线的延长来累计。</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2、管线累计根数超过7根时乘1.1的调整系数。</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3、各种管线交叉平均每公里累计达15次以上的乘1.2调整系数。</w:t>
            </w:r>
          </w:p>
        </w:tc>
      </w:tr>
      <w:tr w:rsidR="00CB7D0C" w:rsidRPr="00CB7D0C" w:rsidTr="00CB7D0C">
        <w:tc>
          <w:tcPr>
            <w:tcW w:w="165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立交路段</w:t>
            </w:r>
          </w:p>
        </w:tc>
        <w:tc>
          <w:tcPr>
            <w:tcW w:w="24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2400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1.20.4 城市市政管线规划</w:t>
      </w:r>
    </w:p>
    <w:p w:rsidR="00CB7D0C" w:rsidRPr="00CB7D0C" w:rsidRDefault="00CB7D0C" w:rsidP="00CB7D0C">
      <w:pPr>
        <w:widowControl/>
        <w:shd w:val="clear" w:color="auto" w:fill="FFFFFF"/>
        <w:jc w:val="righ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单位：元/公里/根                                              表1.20-4</w:t>
      </w:r>
    </w:p>
    <w:tbl>
      <w:tblPr>
        <w:tblW w:w="10155" w:type="dxa"/>
        <w:tblCellMar>
          <w:left w:w="0" w:type="dxa"/>
          <w:right w:w="0" w:type="dxa"/>
        </w:tblCellMar>
        <w:tblLook w:val="04A0"/>
      </w:tblPr>
      <w:tblGrid>
        <w:gridCol w:w="1449"/>
        <w:gridCol w:w="1448"/>
        <w:gridCol w:w="1305"/>
        <w:gridCol w:w="1287"/>
        <w:gridCol w:w="1287"/>
        <w:gridCol w:w="1073"/>
        <w:gridCol w:w="2306"/>
      </w:tblGrid>
      <w:tr w:rsidR="00CB7D0C" w:rsidRPr="00CB7D0C" w:rsidTr="00CB7D0C">
        <w:tc>
          <w:tcPr>
            <w:tcW w:w="9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ind w:firstLine="420"/>
              <w:jc w:val="left"/>
              <w:rPr>
                <w:rFonts w:ascii="宋体" w:eastAsia="宋体" w:hAnsi="宋体" w:cs="宋体"/>
                <w:kern w:val="0"/>
                <w:sz w:val="24"/>
                <w:szCs w:val="24"/>
              </w:rPr>
            </w:pPr>
            <w:r w:rsidRPr="00CB7D0C">
              <w:rPr>
                <w:rFonts w:ascii="宋体" w:eastAsia="宋体" w:hAnsi="宋体" w:cs="宋体" w:hint="eastAsia"/>
                <w:kern w:val="0"/>
                <w:sz w:val="23"/>
                <w:szCs w:val="23"/>
              </w:rPr>
              <w:t>管径</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管线</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种类</w:t>
            </w:r>
          </w:p>
        </w:tc>
        <w:tc>
          <w:tcPr>
            <w:tcW w:w="97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Φ300以下</w:t>
            </w:r>
          </w:p>
        </w:tc>
        <w:tc>
          <w:tcPr>
            <w:tcW w:w="87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Φ300～Φ500</w:t>
            </w:r>
          </w:p>
        </w:tc>
        <w:tc>
          <w:tcPr>
            <w:tcW w:w="86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Φ500～</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Φ1000</w:t>
            </w:r>
          </w:p>
        </w:tc>
        <w:tc>
          <w:tcPr>
            <w:tcW w:w="86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Φ1000～Φ1500</w:t>
            </w: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Φ1500以上</w:t>
            </w:r>
          </w:p>
        </w:tc>
        <w:tc>
          <w:tcPr>
            <w:tcW w:w="15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390"/>
        </w:trPr>
        <w:tc>
          <w:tcPr>
            <w:tcW w:w="9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给水</w:t>
            </w:r>
          </w:p>
        </w:tc>
        <w:tc>
          <w:tcPr>
            <w:tcW w:w="9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2900</w:t>
            </w:r>
          </w:p>
        </w:tc>
        <w:tc>
          <w:tcPr>
            <w:tcW w:w="8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4100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6800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8200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9400</w:t>
            </w:r>
          </w:p>
        </w:tc>
        <w:tc>
          <w:tcPr>
            <w:tcW w:w="154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各类厂站规划按其内容及深度参照其他相关行业标准。</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中水管、直饮水管规划收费同给水。</w:t>
            </w:r>
          </w:p>
        </w:tc>
      </w:tr>
      <w:tr w:rsidR="00CB7D0C" w:rsidRPr="00CB7D0C" w:rsidTr="00CB7D0C">
        <w:trPr>
          <w:trHeight w:val="390"/>
        </w:trPr>
        <w:tc>
          <w:tcPr>
            <w:tcW w:w="9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排水</w:t>
            </w:r>
          </w:p>
        </w:tc>
        <w:tc>
          <w:tcPr>
            <w:tcW w:w="9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1900</w:t>
            </w:r>
          </w:p>
        </w:tc>
        <w:tc>
          <w:tcPr>
            <w:tcW w:w="8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3500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6000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7600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10900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9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煤气</w:t>
            </w:r>
          </w:p>
        </w:tc>
        <w:tc>
          <w:tcPr>
            <w:tcW w:w="9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2300</w:t>
            </w:r>
          </w:p>
        </w:tc>
        <w:tc>
          <w:tcPr>
            <w:tcW w:w="8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45100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7400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9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势力</w:t>
            </w:r>
          </w:p>
        </w:tc>
        <w:tc>
          <w:tcPr>
            <w:tcW w:w="9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4100</w:t>
            </w:r>
          </w:p>
        </w:tc>
        <w:tc>
          <w:tcPr>
            <w:tcW w:w="8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6200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9700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1.20.5其他                                      表1.20-5</w:t>
      </w:r>
    </w:p>
    <w:tbl>
      <w:tblPr>
        <w:tblW w:w="10155" w:type="dxa"/>
        <w:tblCellMar>
          <w:left w:w="0" w:type="dxa"/>
          <w:right w:w="0" w:type="dxa"/>
        </w:tblCellMar>
        <w:tblLook w:val="04A0"/>
      </w:tblPr>
      <w:tblGrid>
        <w:gridCol w:w="1191"/>
        <w:gridCol w:w="651"/>
        <w:gridCol w:w="2771"/>
        <w:gridCol w:w="2984"/>
        <w:gridCol w:w="2558"/>
      </w:tblGrid>
      <w:tr w:rsidR="00CB7D0C" w:rsidRPr="00CB7D0C" w:rsidTr="00CB7D0C">
        <w:trPr>
          <w:trHeight w:val="390"/>
        </w:trPr>
        <w:tc>
          <w:tcPr>
            <w:tcW w:w="3108"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项目类别</w:t>
            </w:r>
          </w:p>
        </w:tc>
        <w:tc>
          <w:tcPr>
            <w:tcW w:w="201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计费单价（元/根/公里）</w:t>
            </w:r>
          </w:p>
        </w:tc>
        <w:tc>
          <w:tcPr>
            <w:tcW w:w="17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备注</w:t>
            </w:r>
          </w:p>
        </w:tc>
      </w:tr>
      <w:tr w:rsidR="00CB7D0C" w:rsidRPr="00CB7D0C" w:rsidTr="00CB7D0C">
        <w:trPr>
          <w:trHeight w:val="390"/>
        </w:trPr>
        <w:tc>
          <w:tcPr>
            <w:tcW w:w="3108"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城市道路综合管沟规划</w:t>
            </w:r>
          </w:p>
        </w:tc>
        <w:tc>
          <w:tcPr>
            <w:tcW w:w="201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14600元/公里</w:t>
            </w:r>
          </w:p>
        </w:tc>
        <w:tc>
          <w:tcPr>
            <w:tcW w:w="172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r>
      <w:tr w:rsidR="00CB7D0C" w:rsidRPr="00CB7D0C" w:rsidTr="00CB7D0C">
        <w:trPr>
          <w:trHeight w:val="390"/>
        </w:trPr>
        <w:tc>
          <w:tcPr>
            <w:tcW w:w="3108"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河道整治规划</w:t>
            </w:r>
          </w:p>
        </w:tc>
        <w:tc>
          <w:tcPr>
            <w:tcW w:w="201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11400元/公里</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108"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城市高速路、快速干道规划</w:t>
            </w:r>
          </w:p>
        </w:tc>
        <w:tc>
          <w:tcPr>
            <w:tcW w:w="201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10200元/公里</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3108"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城市高架桥规划</w:t>
            </w:r>
          </w:p>
        </w:tc>
        <w:tc>
          <w:tcPr>
            <w:tcW w:w="201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8500元/公里</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80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给排水沟渠规划</w:t>
            </w:r>
          </w:p>
        </w:tc>
        <w:tc>
          <w:tcPr>
            <w:tcW w:w="43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断</w:t>
            </w:r>
          </w:p>
          <w:p w:rsidR="00CB7D0C" w:rsidRPr="00CB7D0C" w:rsidRDefault="00CB7D0C" w:rsidP="00CB7D0C">
            <w:pPr>
              <w:widowControl/>
              <w:wordWrap w:val="0"/>
              <w:jc w:val="left"/>
              <w:rPr>
                <w:rFonts w:ascii="宋体" w:eastAsia="宋体" w:hAnsi="宋体" w:cs="宋体"/>
                <w:kern w:val="0"/>
                <w:sz w:val="24"/>
                <w:szCs w:val="24"/>
              </w:rPr>
            </w:pP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面</w:t>
            </w:r>
          </w:p>
        </w:tc>
        <w:tc>
          <w:tcPr>
            <w:tcW w:w="18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1m×1m—2m×2m</w:t>
            </w:r>
          </w:p>
        </w:tc>
        <w:tc>
          <w:tcPr>
            <w:tcW w:w="201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9500元/公里</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0" w:type="auto"/>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18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2m×2m—2.5m×2.5m</w:t>
            </w:r>
          </w:p>
        </w:tc>
        <w:tc>
          <w:tcPr>
            <w:tcW w:w="201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10200元/公里</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95"/>
        </w:trPr>
        <w:tc>
          <w:tcPr>
            <w:tcW w:w="0" w:type="auto"/>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18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2.5m×2.5m以上</w:t>
            </w:r>
          </w:p>
        </w:tc>
        <w:tc>
          <w:tcPr>
            <w:tcW w:w="201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11400元/公里</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jc w:val="center"/>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第二部分   工程设计收费标准</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 说明</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2.1.1 </w:t>
      </w:r>
      <w:r w:rsidRPr="00CB7D0C">
        <w:rPr>
          <w:rFonts w:ascii="宋体" w:eastAsia="宋体" w:hAnsi="宋体" w:cs="宋体" w:hint="eastAsia"/>
          <w:color w:val="333333"/>
          <w:spacing w:val="8"/>
          <w:kern w:val="0"/>
          <w:sz w:val="23"/>
          <w:szCs w:val="23"/>
        </w:rPr>
        <w:t>工程设计收费是指我院根据发包人的委托，提供编制建设项目初步设计文件、施工图设计文件、非标准设备设计文件、施工图预算文件、竣工图文件等服务所收取的费用。</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2.1.2 </w:t>
      </w:r>
      <w:r w:rsidRPr="00CB7D0C">
        <w:rPr>
          <w:rFonts w:ascii="宋体" w:eastAsia="宋体" w:hAnsi="宋体" w:cs="宋体" w:hint="eastAsia"/>
          <w:color w:val="333333"/>
          <w:spacing w:val="8"/>
          <w:kern w:val="0"/>
          <w:sz w:val="23"/>
          <w:szCs w:val="23"/>
        </w:rPr>
        <w:t>工程设计收费采取按照建设项目单项工程概算投资额分档定额计算方法计算收费。</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2.1.3</w:t>
      </w:r>
      <w:r w:rsidRPr="00CB7D0C">
        <w:rPr>
          <w:rFonts w:ascii="宋体" w:eastAsia="宋体" w:hAnsi="宋体" w:cs="宋体" w:hint="eastAsia"/>
          <w:color w:val="333333"/>
          <w:spacing w:val="8"/>
          <w:kern w:val="0"/>
          <w:sz w:val="23"/>
          <w:szCs w:val="23"/>
        </w:rPr>
        <w:t>工程设计收费按照下列公式计算</w:t>
      </w:r>
    </w:p>
    <w:p w:rsidR="00CB7D0C" w:rsidRPr="00CB7D0C" w:rsidRDefault="00CB7D0C" w:rsidP="00CB7D0C">
      <w:pPr>
        <w:widowControl/>
        <w:shd w:val="clear" w:color="auto" w:fill="FFFFFF"/>
        <w:spacing w:line="600" w:lineRule="atLeast"/>
        <w:ind w:left="360"/>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①   工程设计收费=工程设计收费基准价×（1</w:t>
      </w:r>
      <w:r w:rsidRPr="00CB7D0C">
        <w:rPr>
          <w:rFonts w:ascii="宋体" w:eastAsia="宋体" w:hAnsi="宋体" w:cs="宋体" w:hint="eastAsia"/>
          <w:color w:val="333333"/>
          <w:spacing w:val="8"/>
          <w:kern w:val="0"/>
          <w:sz w:val="23"/>
          <w:szCs w:val="23"/>
          <w:u w:val="single"/>
        </w:rPr>
        <w:t>＋</w:t>
      </w:r>
      <w:r w:rsidRPr="00CB7D0C">
        <w:rPr>
          <w:rFonts w:ascii="宋体" w:eastAsia="宋体" w:hAnsi="宋体" w:cs="宋体" w:hint="eastAsia"/>
          <w:color w:val="333333"/>
          <w:spacing w:val="8"/>
          <w:kern w:val="0"/>
          <w:sz w:val="23"/>
          <w:szCs w:val="23"/>
        </w:rPr>
        <w:t>浮动幅度值）</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②  工程设计收费基准价=基本设计收费＋其他设计收费</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③  基本设计收费=工程设计收费基价×专业调整系统×工程复杂程度调整系数×附加调整系数</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2.1.4 </w:t>
      </w:r>
      <w:r w:rsidRPr="00CB7D0C">
        <w:rPr>
          <w:rFonts w:ascii="宋体" w:eastAsia="宋体" w:hAnsi="宋体" w:cs="宋体" w:hint="eastAsia"/>
          <w:color w:val="333333"/>
          <w:spacing w:val="8"/>
          <w:kern w:val="0"/>
          <w:sz w:val="23"/>
          <w:szCs w:val="23"/>
        </w:rPr>
        <w:t>工程设计收费基准价是按照本收费标准计算出的工程设计基准收费额，发包人和我院根据实际情况，在规定的浮动幅度内协商确定工程设计收费合同额</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2.1.5 </w:t>
      </w:r>
      <w:r w:rsidRPr="00CB7D0C">
        <w:rPr>
          <w:rFonts w:ascii="宋体" w:eastAsia="宋体" w:hAnsi="宋体" w:cs="宋体" w:hint="eastAsia"/>
          <w:color w:val="333333"/>
          <w:spacing w:val="8"/>
          <w:kern w:val="0"/>
          <w:sz w:val="23"/>
          <w:szCs w:val="23"/>
        </w:rPr>
        <w:t>基本设计收费</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基本设计收费是指在工程设计中提供编制初步设计文件、施工图设计文件收取的费用，并相应提供设计技术交底、解决施工中的设计技术问题和竣工验收等服务。</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2.1.6 </w:t>
      </w:r>
      <w:r w:rsidRPr="00CB7D0C">
        <w:rPr>
          <w:rFonts w:ascii="宋体" w:eastAsia="宋体" w:hAnsi="宋体" w:cs="宋体" w:hint="eastAsia"/>
          <w:color w:val="333333"/>
          <w:spacing w:val="8"/>
          <w:kern w:val="0"/>
          <w:sz w:val="23"/>
          <w:szCs w:val="23"/>
        </w:rPr>
        <w:t>其他设计收费</w:t>
      </w:r>
    </w:p>
    <w:p w:rsidR="00CB7D0C" w:rsidRPr="00CB7D0C" w:rsidRDefault="00CB7D0C" w:rsidP="00CB7D0C">
      <w:pPr>
        <w:widowControl/>
        <w:shd w:val="clear" w:color="auto" w:fill="FFFFFF"/>
        <w:spacing w:line="600" w:lineRule="atLeast"/>
        <w:ind w:firstLine="420"/>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其他设计收费是指根据工程设计实际需要或者发包人要求提供相关服务收取的费用，包括总体设计费、主题设计协调费、采用标准设计和复用设计费、非标准设备设计文件编制费、施工图预算编制费、竣工图编制费等。</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2.1.7 </w:t>
      </w:r>
      <w:r w:rsidRPr="00CB7D0C">
        <w:rPr>
          <w:rFonts w:ascii="宋体" w:eastAsia="宋体" w:hAnsi="宋体" w:cs="宋体" w:hint="eastAsia"/>
          <w:color w:val="333333"/>
          <w:spacing w:val="8"/>
          <w:kern w:val="0"/>
          <w:sz w:val="23"/>
          <w:szCs w:val="23"/>
        </w:rPr>
        <w:t>工程设计收费基价</w:t>
      </w:r>
    </w:p>
    <w:p w:rsidR="00CB7D0C" w:rsidRPr="00CB7D0C" w:rsidRDefault="00CB7D0C" w:rsidP="00CB7D0C">
      <w:pPr>
        <w:widowControl/>
        <w:shd w:val="clear" w:color="auto" w:fill="FFFFFF"/>
        <w:spacing w:line="600" w:lineRule="atLeast"/>
        <w:ind w:firstLine="420"/>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工程设计收费基价是完成基本服务的价格。工程设计收费基价在《工程设计收费基价表》（表2.2-1）中查找确定，计费额处于两个数值区间的，采用直线内插法确定工程设计收费基价。</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2.1.8 </w:t>
      </w:r>
      <w:r w:rsidRPr="00CB7D0C">
        <w:rPr>
          <w:rFonts w:ascii="宋体" w:eastAsia="宋体" w:hAnsi="宋体" w:cs="宋体" w:hint="eastAsia"/>
          <w:color w:val="333333"/>
          <w:spacing w:val="8"/>
          <w:kern w:val="0"/>
          <w:sz w:val="23"/>
          <w:szCs w:val="23"/>
        </w:rPr>
        <w:t>工程设计收费计费额</w:t>
      </w:r>
    </w:p>
    <w:p w:rsidR="00CB7D0C" w:rsidRPr="00CB7D0C" w:rsidRDefault="00CB7D0C" w:rsidP="00CB7D0C">
      <w:pPr>
        <w:widowControl/>
        <w:shd w:val="clear" w:color="auto" w:fill="FFFFFF"/>
        <w:spacing w:line="600" w:lineRule="atLeast"/>
        <w:ind w:firstLine="420"/>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工程设计收费计费额，未经过批准的建设项目初步设计概算中的建筑安装工程费、设备与工器具购置费和联合试运转费之和。</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工程中有利用原有设备的，以签定工程设计合同时同类设备的当期价格作为工程设计收费的计费额；工程中有缓配设备，但按照合同要求以既配设备进行工程设计并达到设备安装和工艺条件的，以既配设备的当期价格作为工程设计收费的计费额；工程中有引进设备的，按照购进设备的离岸折成人民币作为工程设计收费的计费额。</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2.1.9 </w:t>
      </w:r>
      <w:r w:rsidRPr="00CB7D0C">
        <w:rPr>
          <w:rFonts w:ascii="宋体" w:eastAsia="宋体" w:hAnsi="宋体" w:cs="宋体" w:hint="eastAsia"/>
          <w:color w:val="333333"/>
          <w:spacing w:val="8"/>
          <w:kern w:val="0"/>
          <w:sz w:val="23"/>
          <w:szCs w:val="23"/>
        </w:rPr>
        <w:t>工程设计收费调整系数包括：专业调整系数、工程复杂程度调整系数和符合调整系数。</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①专业调整系数是对不同专业建设项目的工程设计复杂程度和工作量差异进行调整的系数。计算工程设计收费时，专业调整系数在《工程设计收费专业调整系数表》（表2.3-6）中查找确定。</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②工程复杂程度调整系数是对同意专业不同建设项目的工程设计复杂程度和工作量差异进行调整的系数。工程复杂程度分为一般、较复杂和复杂三个等级，其调整系数分别为：一般（Ⅰ级）0.85；较复杂（Ⅱ级）1.0；复杂（Ⅲ级）1.15。计算工程设计收费时，工程复杂程度在相应的《工程复杂程度表》中查找确定。</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③附加调整系数是对专业调整系数和工程复杂程度调整系数尚不能调整的因素进行补充调整的系数。附加调整系数分别列于有关章节中。附加调整系数为两个或两个以上的，附加调整系数不能连乘。将各附加调整系数相加，减去附加调整系数的个数，加上定值1，作为附加调整系数值。</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2.1.10</w:t>
      </w:r>
      <w:r w:rsidRPr="00CB7D0C">
        <w:rPr>
          <w:rFonts w:ascii="宋体" w:eastAsia="宋体" w:hAnsi="宋体" w:cs="宋体" w:hint="eastAsia"/>
          <w:color w:val="333333"/>
          <w:spacing w:val="8"/>
          <w:kern w:val="0"/>
          <w:sz w:val="23"/>
          <w:szCs w:val="23"/>
        </w:rPr>
        <w:t>单独委托工艺设计、土建以及公用工程设计、初步设计、施工图设计的，按照其占基本服务设计工作量的比例计算工程设计收费。</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2.1.11 改扩建和技术改选建设项目，附加调整系数为1.3。根据工程设计复杂程度确定适当的附加调整系数，计算工程设计收费。</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2.1.12</w:t>
      </w:r>
      <w:r w:rsidRPr="00CB7D0C">
        <w:rPr>
          <w:rFonts w:ascii="宋体" w:eastAsia="宋体" w:hAnsi="宋体" w:cs="宋体" w:hint="eastAsia"/>
          <w:color w:val="333333"/>
          <w:spacing w:val="8"/>
          <w:kern w:val="0"/>
          <w:sz w:val="23"/>
          <w:szCs w:val="23"/>
        </w:rPr>
        <w:t> 初步设计之前，根据技术标准的规定或者发包人的要求，需要编制总体设计的，按照该建设项目基本设计收费的5%加收总体设计费。</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2.1.13 </w:t>
      </w:r>
      <w:r w:rsidRPr="00CB7D0C">
        <w:rPr>
          <w:rFonts w:ascii="宋体" w:eastAsia="宋体" w:hAnsi="宋体" w:cs="宋体" w:hint="eastAsia"/>
          <w:color w:val="333333"/>
          <w:spacing w:val="8"/>
          <w:kern w:val="0"/>
          <w:sz w:val="23"/>
          <w:szCs w:val="23"/>
        </w:rPr>
        <w:t>对于建筑面积小于300平方米的工程设计,如别墅、公厕等按3万元/幢计费。</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2.1.14 </w:t>
      </w:r>
      <w:r w:rsidRPr="00CB7D0C">
        <w:rPr>
          <w:rFonts w:ascii="宋体" w:eastAsia="宋体" w:hAnsi="宋体" w:cs="宋体" w:hint="eastAsia"/>
          <w:color w:val="333333"/>
          <w:spacing w:val="8"/>
          <w:kern w:val="0"/>
          <w:sz w:val="23"/>
          <w:szCs w:val="23"/>
        </w:rPr>
        <w:t>对于单独承接的投资小于50万元的园林景观、小品及构筑物等，附加调整系数为1.5，收费基价0.5万元。</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lastRenderedPageBreak/>
        <w:t>2.1.15</w:t>
      </w:r>
      <w:r w:rsidRPr="00CB7D0C">
        <w:rPr>
          <w:rFonts w:ascii="宋体" w:eastAsia="宋体" w:hAnsi="宋体" w:cs="宋体" w:hint="eastAsia"/>
          <w:color w:val="333333"/>
          <w:spacing w:val="8"/>
          <w:kern w:val="0"/>
          <w:sz w:val="23"/>
          <w:szCs w:val="23"/>
        </w:rPr>
        <w:t> 编制工程施工图预算的，按照该建设项目基本设计收费的10%收取施工图预算编制费；编制工程竣工图的，按照该建设项目基本设计收费的8%收取竣工图编制费。</w:t>
      </w:r>
    </w:p>
    <w:p w:rsidR="00CB7D0C" w:rsidRPr="00CB7D0C" w:rsidRDefault="00CB7D0C" w:rsidP="00CB7D0C">
      <w:pPr>
        <w:widowControl/>
        <w:shd w:val="clear" w:color="auto" w:fill="FFFFFF"/>
        <w:spacing w:line="600" w:lineRule="atLeast"/>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2.1.16</w:t>
      </w:r>
      <w:r w:rsidRPr="00CB7D0C">
        <w:rPr>
          <w:rFonts w:ascii="宋体" w:eastAsia="宋体" w:hAnsi="宋体" w:cs="宋体" w:hint="eastAsia"/>
          <w:color w:val="333333"/>
          <w:spacing w:val="8"/>
          <w:kern w:val="0"/>
          <w:sz w:val="23"/>
          <w:szCs w:val="23"/>
        </w:rPr>
        <w:t> 我院提供设计文件的标准份数，初步设计、总体设计分别为10份，施工图设计、非标准设备设计、施工图预算、竣工图分别为8份。发表人要求增加设计文件份数的，由发包人另行支付印刷设计文件工本费。工程设计中需要购买标准设计图的，由发表人支付购图费。</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2.2 工程设计收费基价表 </w:t>
      </w:r>
      <w:r w:rsidRPr="00CB7D0C">
        <w:rPr>
          <w:rFonts w:ascii="宋体" w:eastAsia="宋体" w:hAnsi="宋体" w:cs="宋体" w:hint="eastAsia"/>
          <w:color w:val="333333"/>
          <w:spacing w:val="8"/>
          <w:kern w:val="0"/>
          <w:sz w:val="23"/>
          <w:szCs w:val="23"/>
        </w:rPr>
        <w:t>                          表2.2-1</w:t>
      </w:r>
    </w:p>
    <w:tbl>
      <w:tblPr>
        <w:tblW w:w="10155" w:type="dxa"/>
        <w:tblCellMar>
          <w:left w:w="0" w:type="dxa"/>
          <w:right w:w="0" w:type="dxa"/>
        </w:tblCellMar>
        <w:tblLook w:val="04A0"/>
      </w:tblPr>
      <w:tblGrid>
        <w:gridCol w:w="1167"/>
        <w:gridCol w:w="3135"/>
        <w:gridCol w:w="3118"/>
        <w:gridCol w:w="2735"/>
      </w:tblGrid>
      <w:tr w:rsidR="00CB7D0C" w:rsidRPr="00CB7D0C" w:rsidTr="00CB7D0C">
        <w:trPr>
          <w:trHeight w:val="480"/>
        </w:trPr>
        <w:tc>
          <w:tcPr>
            <w:tcW w:w="80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序号</w:t>
            </w:r>
          </w:p>
        </w:tc>
        <w:tc>
          <w:tcPr>
            <w:tcW w:w="21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计费额（万元）</w:t>
            </w:r>
          </w:p>
        </w:tc>
        <w:tc>
          <w:tcPr>
            <w:tcW w:w="21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收费基价（万元）</w:t>
            </w:r>
          </w:p>
        </w:tc>
        <w:tc>
          <w:tcPr>
            <w:tcW w:w="18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计费率（%）</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9.0</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4.5</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20.9</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4.18</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38.8</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3.88</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103.8</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3.46</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163.9</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3.3</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249.6</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3.12</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7</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304.8</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3.05</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566.8</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2.83</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9</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1054.0</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2.64</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1515.2</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2.53</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11</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1960.1</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2.45</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2393.4</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2.39</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13</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4450.8</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2.23</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14</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8276.7</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2.07</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11897.5</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1.98</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16</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800000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15391.4</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1.92</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lastRenderedPageBreak/>
              <w:t>17</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1000000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18793.8</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1.88</w:t>
            </w:r>
          </w:p>
        </w:tc>
      </w:tr>
      <w:tr w:rsidR="00CB7D0C" w:rsidRPr="00CB7D0C" w:rsidTr="00CB7D0C">
        <w:trPr>
          <w:trHeight w:val="480"/>
        </w:trPr>
        <w:tc>
          <w:tcPr>
            <w:tcW w:w="80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18</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2000000</w:t>
            </w:r>
          </w:p>
        </w:tc>
        <w:tc>
          <w:tcPr>
            <w:tcW w:w="21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34948.9</w:t>
            </w:r>
          </w:p>
        </w:tc>
        <w:tc>
          <w:tcPr>
            <w:tcW w:w="18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1.747</w:t>
            </w: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2.3 建筑市政工程设计</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2.3.1 建筑市政工程范围：</w:t>
      </w:r>
      <w:r w:rsidRPr="00CB7D0C">
        <w:rPr>
          <w:rFonts w:ascii="宋体" w:eastAsia="宋体" w:hAnsi="宋体" w:cs="宋体" w:hint="eastAsia"/>
          <w:color w:val="333333"/>
          <w:spacing w:val="8"/>
          <w:kern w:val="0"/>
          <w:sz w:val="23"/>
          <w:szCs w:val="23"/>
        </w:rPr>
        <w:t>适用于建筑、人防、市政公用、园林绿化、电信、广播电视、邮政工程。</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2.3.2  建筑市政工程各阶段工作量比例表</w:t>
      </w:r>
      <w:r w:rsidRPr="00CB7D0C">
        <w:rPr>
          <w:rFonts w:ascii="宋体" w:eastAsia="宋体" w:hAnsi="宋体" w:cs="宋体" w:hint="eastAsia"/>
          <w:color w:val="333333"/>
          <w:spacing w:val="8"/>
          <w:kern w:val="0"/>
          <w:sz w:val="23"/>
          <w:szCs w:val="23"/>
        </w:rPr>
        <w:t>            表2.3-1</w:t>
      </w:r>
    </w:p>
    <w:tbl>
      <w:tblPr>
        <w:tblW w:w="10155" w:type="dxa"/>
        <w:tblCellMar>
          <w:left w:w="0" w:type="dxa"/>
          <w:right w:w="0" w:type="dxa"/>
        </w:tblCellMar>
        <w:tblLook w:val="04A0"/>
      </w:tblPr>
      <w:tblGrid>
        <w:gridCol w:w="1898"/>
        <w:gridCol w:w="62"/>
        <w:gridCol w:w="171"/>
        <w:gridCol w:w="2051"/>
        <w:gridCol w:w="1018"/>
        <w:gridCol w:w="1018"/>
        <w:gridCol w:w="1120"/>
        <w:gridCol w:w="2817"/>
      </w:tblGrid>
      <w:tr w:rsidR="00CB7D0C" w:rsidRPr="00CB7D0C" w:rsidTr="00CB7D0C">
        <w:trPr>
          <w:trHeight w:val="1155"/>
        </w:trPr>
        <w:tc>
          <w:tcPr>
            <w:tcW w:w="2784"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            设计阶段</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工程类型</w:t>
            </w:r>
          </w:p>
        </w:tc>
        <w:tc>
          <w:tcPr>
            <w:tcW w:w="720" w:type="dxa"/>
            <w:tcBorders>
              <w:top w:val="single" w:sz="6" w:space="0" w:color="auto"/>
              <w:left w:val="nil"/>
              <w:bottom w:val="single" w:sz="6" w:space="0" w:color="000000"/>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方案</w:t>
            </w:r>
          </w:p>
          <w:p w:rsidR="00CB7D0C" w:rsidRPr="00CB7D0C" w:rsidRDefault="00CB7D0C" w:rsidP="00CB7D0C">
            <w:pPr>
              <w:widowControl/>
              <w:wordWrap w:val="0"/>
              <w:ind w:left="195"/>
              <w:jc w:val="left"/>
              <w:rPr>
                <w:rFonts w:ascii="宋体" w:eastAsia="宋体" w:hAnsi="宋体" w:cs="宋体"/>
                <w:kern w:val="0"/>
                <w:sz w:val="24"/>
                <w:szCs w:val="24"/>
              </w:rPr>
            </w:pPr>
            <w:r w:rsidRPr="00CB7D0C">
              <w:rPr>
                <w:rFonts w:ascii="宋体" w:eastAsia="宋体" w:hAnsi="宋体" w:cs="宋体" w:hint="eastAsia"/>
                <w:kern w:val="0"/>
                <w:sz w:val="23"/>
                <w:szCs w:val="23"/>
              </w:rPr>
              <w:t>设计</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w:t>
            </w: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初步</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设计</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w:t>
            </w:r>
          </w:p>
        </w:tc>
        <w:tc>
          <w:tcPr>
            <w:tcW w:w="86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施工图</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设计</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w:t>
            </w:r>
          </w:p>
        </w:tc>
        <w:tc>
          <w:tcPr>
            <w:tcW w:w="217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rPr>
          <w:trHeight w:val="480"/>
        </w:trPr>
        <w:tc>
          <w:tcPr>
            <w:tcW w:w="134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建筑与</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室外工程</w:t>
            </w:r>
          </w:p>
        </w:tc>
        <w:tc>
          <w:tcPr>
            <w:tcW w:w="144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Ⅰ级</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w:t>
            </w:r>
          </w:p>
        </w:tc>
        <w:tc>
          <w:tcPr>
            <w:tcW w:w="2172"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提供两上以上建筑设计方案，且达到规定内容和深度要求的，从第二个设计方案起，每个方案按照方案设计的50%另收方案设计费。</w:t>
            </w:r>
          </w:p>
        </w:tc>
      </w:tr>
      <w:tr w:rsidR="00CB7D0C" w:rsidRPr="00CB7D0C" w:rsidTr="00CB7D0C">
        <w:trPr>
          <w:trHeight w:val="480"/>
        </w:trPr>
        <w:tc>
          <w:tcPr>
            <w:tcW w:w="0" w:type="auto"/>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144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Ⅱ级</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55</w:t>
            </w:r>
          </w:p>
        </w:tc>
        <w:tc>
          <w:tcPr>
            <w:tcW w:w="0" w:type="auto"/>
            <w:vMerge/>
            <w:tcBorders>
              <w:top w:val="single" w:sz="6" w:space="0" w:color="auto"/>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585"/>
        </w:trPr>
        <w:tc>
          <w:tcPr>
            <w:tcW w:w="0" w:type="auto"/>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144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Ⅲ级</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w:t>
            </w:r>
          </w:p>
        </w:tc>
        <w:tc>
          <w:tcPr>
            <w:tcW w:w="0" w:type="auto"/>
            <w:vMerge/>
            <w:tcBorders>
              <w:top w:val="single" w:sz="6" w:space="0" w:color="auto"/>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2784"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住宅小区（组团）工程</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25</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45</w:t>
            </w:r>
          </w:p>
        </w:tc>
        <w:tc>
          <w:tcPr>
            <w:tcW w:w="2172"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p>
        </w:tc>
      </w:tr>
      <w:tr w:rsidR="00CB7D0C" w:rsidRPr="00CB7D0C" w:rsidTr="00CB7D0C">
        <w:trPr>
          <w:trHeight w:val="480"/>
        </w:trPr>
        <w:tc>
          <w:tcPr>
            <w:tcW w:w="2784"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住宅工程</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25</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75</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2784"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古建筑保护性建筑工程</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2784"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智能建筑弱电系统工程</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2784"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室内装修工程</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1524" w:type="dxa"/>
            <w:gridSpan w:val="3"/>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园林绿化工程</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Ⅰ、Ⅱ级</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70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0" w:type="auto"/>
            <w:gridSpan w:val="3"/>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Ⅲ级</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w:t>
            </w:r>
          </w:p>
        </w:tc>
        <w:tc>
          <w:tcPr>
            <w:tcW w:w="864" w:type="dxa"/>
            <w:tcBorders>
              <w:top w:val="nil"/>
              <w:left w:val="nil"/>
              <w:bottom w:val="nil"/>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2784"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人防工程</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1524" w:type="dxa"/>
            <w:gridSpan w:val="3"/>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市政公用程</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Ⅰ、Ⅱ级</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0" w:type="auto"/>
            <w:gridSpan w:val="3"/>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Ⅲ级</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w:t>
            </w:r>
          </w:p>
        </w:tc>
        <w:tc>
          <w:tcPr>
            <w:tcW w:w="864" w:type="dxa"/>
            <w:tcBorders>
              <w:top w:val="nil"/>
              <w:left w:val="nil"/>
              <w:bottom w:val="nil"/>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2784" w:type="dxa"/>
            <w:gridSpan w:val="4"/>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ind w:firstLine="135"/>
              <w:jc w:val="left"/>
              <w:rPr>
                <w:rFonts w:ascii="宋体" w:eastAsia="宋体" w:hAnsi="宋体" w:cs="宋体"/>
                <w:kern w:val="0"/>
                <w:sz w:val="24"/>
                <w:szCs w:val="24"/>
              </w:rPr>
            </w:pPr>
            <w:r w:rsidRPr="00CB7D0C">
              <w:rPr>
                <w:rFonts w:ascii="宋体" w:eastAsia="宋体" w:hAnsi="宋体" w:cs="宋体" w:hint="eastAsia"/>
                <w:kern w:val="0"/>
                <w:sz w:val="23"/>
                <w:szCs w:val="23"/>
              </w:rPr>
              <w:t>广播电视、邮政工程工艺部分分</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w:t>
            </w:r>
          </w:p>
        </w:tc>
        <w:tc>
          <w:tcPr>
            <w:tcW w:w="8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2784" w:type="dxa"/>
            <w:gridSpan w:val="4"/>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B7D0C" w:rsidRPr="00CB7D0C" w:rsidRDefault="00CB7D0C" w:rsidP="00CB7D0C">
            <w:pPr>
              <w:widowControl/>
              <w:wordWrap w:val="0"/>
              <w:ind w:firstLine="135"/>
              <w:jc w:val="left"/>
              <w:rPr>
                <w:rFonts w:ascii="宋体" w:eastAsia="宋体" w:hAnsi="宋体" w:cs="宋体"/>
                <w:kern w:val="0"/>
                <w:sz w:val="24"/>
                <w:szCs w:val="24"/>
              </w:rPr>
            </w:pPr>
            <w:r w:rsidRPr="00CB7D0C">
              <w:rPr>
                <w:rFonts w:ascii="宋体" w:eastAsia="宋体" w:hAnsi="宋体" w:cs="宋体" w:hint="eastAsia"/>
                <w:kern w:val="0"/>
                <w:sz w:val="23"/>
                <w:szCs w:val="23"/>
              </w:rPr>
              <w:t>电信工程</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60</w:t>
            </w:r>
          </w:p>
        </w:tc>
        <w:tc>
          <w:tcPr>
            <w:tcW w:w="864" w:type="dxa"/>
            <w:tcBorders>
              <w:top w:val="nil"/>
              <w:left w:val="nil"/>
              <w:bottom w:val="nil"/>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1392" w:type="dxa"/>
            <w:gridSpan w:val="2"/>
            <w:vMerge w:val="restart"/>
            <w:tcBorders>
              <w:top w:val="nil"/>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CB7D0C" w:rsidRPr="00CB7D0C" w:rsidRDefault="00CB7D0C" w:rsidP="00CB7D0C">
            <w:pPr>
              <w:widowControl/>
              <w:wordWrap w:val="0"/>
              <w:ind w:firstLine="135"/>
              <w:jc w:val="left"/>
              <w:rPr>
                <w:rFonts w:ascii="宋体" w:eastAsia="宋体" w:hAnsi="宋体" w:cs="宋体"/>
                <w:kern w:val="0"/>
                <w:sz w:val="24"/>
                <w:szCs w:val="24"/>
              </w:rPr>
            </w:pPr>
            <w:r w:rsidRPr="00CB7D0C">
              <w:rPr>
                <w:rFonts w:ascii="宋体" w:eastAsia="宋体" w:hAnsi="宋体" w:cs="宋体" w:hint="eastAsia"/>
                <w:kern w:val="0"/>
                <w:sz w:val="23"/>
                <w:szCs w:val="23"/>
              </w:rPr>
              <w:t>建筑工程专业</w:t>
            </w:r>
          </w:p>
        </w:tc>
        <w:tc>
          <w:tcPr>
            <w:tcW w:w="1392"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ind w:firstLine="135"/>
              <w:jc w:val="left"/>
              <w:rPr>
                <w:rFonts w:ascii="宋体" w:eastAsia="宋体" w:hAnsi="宋体" w:cs="宋体"/>
                <w:kern w:val="0"/>
                <w:sz w:val="24"/>
                <w:szCs w:val="24"/>
              </w:rPr>
            </w:pPr>
            <w:r w:rsidRPr="00CB7D0C">
              <w:rPr>
                <w:rFonts w:ascii="宋体" w:eastAsia="宋体" w:hAnsi="宋体" w:cs="宋体" w:hint="eastAsia"/>
                <w:kern w:val="0"/>
                <w:sz w:val="23"/>
                <w:szCs w:val="23"/>
              </w:rPr>
              <w:t>建筑</w:t>
            </w:r>
          </w:p>
        </w:tc>
        <w:tc>
          <w:tcPr>
            <w:tcW w:w="2304"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35～43</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0" w:type="auto"/>
            <w:gridSpan w:val="2"/>
            <w:vMerge/>
            <w:tcBorders>
              <w:top w:val="nil"/>
              <w:left w:val="single" w:sz="6" w:space="0" w:color="auto"/>
              <w:bottom w:val="single" w:sz="6" w:space="0" w:color="auto"/>
              <w:right w:val="single" w:sz="6" w:space="0" w:color="000000"/>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1392"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ind w:firstLine="135"/>
              <w:jc w:val="left"/>
              <w:rPr>
                <w:rFonts w:ascii="宋体" w:eastAsia="宋体" w:hAnsi="宋体" w:cs="宋体"/>
                <w:kern w:val="0"/>
                <w:sz w:val="24"/>
                <w:szCs w:val="24"/>
              </w:rPr>
            </w:pPr>
            <w:r w:rsidRPr="00CB7D0C">
              <w:rPr>
                <w:rFonts w:ascii="宋体" w:eastAsia="宋体" w:hAnsi="宋体" w:cs="宋体" w:hint="eastAsia"/>
                <w:kern w:val="0"/>
                <w:sz w:val="23"/>
                <w:szCs w:val="23"/>
              </w:rPr>
              <w:t>结构</w:t>
            </w:r>
          </w:p>
        </w:tc>
        <w:tc>
          <w:tcPr>
            <w:tcW w:w="2304"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24～30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480"/>
        </w:trPr>
        <w:tc>
          <w:tcPr>
            <w:tcW w:w="0" w:type="auto"/>
            <w:gridSpan w:val="2"/>
            <w:vMerge/>
            <w:tcBorders>
              <w:top w:val="nil"/>
              <w:left w:val="single" w:sz="6" w:space="0" w:color="auto"/>
              <w:bottom w:val="single" w:sz="6" w:space="0" w:color="auto"/>
              <w:right w:val="single" w:sz="6" w:space="0" w:color="000000"/>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139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ind w:firstLine="135"/>
              <w:jc w:val="left"/>
              <w:rPr>
                <w:rFonts w:ascii="宋体" w:eastAsia="宋体" w:hAnsi="宋体" w:cs="宋体"/>
                <w:kern w:val="0"/>
                <w:sz w:val="24"/>
                <w:szCs w:val="24"/>
              </w:rPr>
            </w:pPr>
            <w:r w:rsidRPr="00CB7D0C">
              <w:rPr>
                <w:rFonts w:ascii="宋体" w:eastAsia="宋体" w:hAnsi="宋体" w:cs="宋体" w:hint="eastAsia"/>
                <w:kern w:val="0"/>
                <w:sz w:val="23"/>
                <w:szCs w:val="23"/>
              </w:rPr>
              <w:t>设备</w:t>
            </w:r>
          </w:p>
        </w:tc>
        <w:tc>
          <w:tcPr>
            <w:tcW w:w="2304"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28～38</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ind w:left="105"/>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ind w:left="105"/>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2.3.3 建筑市政工程复杂程度</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①建筑、人防工程复杂程度表                     表2.3-2</w:t>
      </w:r>
    </w:p>
    <w:tbl>
      <w:tblPr>
        <w:tblW w:w="10155" w:type="dxa"/>
        <w:tblCellMar>
          <w:left w:w="0" w:type="dxa"/>
          <w:right w:w="0" w:type="dxa"/>
        </w:tblCellMar>
        <w:tblLook w:val="04A0"/>
      </w:tblPr>
      <w:tblGrid>
        <w:gridCol w:w="1229"/>
        <w:gridCol w:w="8926"/>
      </w:tblGrid>
      <w:tr w:rsidR="00CB7D0C" w:rsidRPr="00CB7D0C" w:rsidTr="00CB7D0C">
        <w:trPr>
          <w:trHeight w:val="450"/>
        </w:trPr>
        <w:tc>
          <w:tcPr>
            <w:tcW w:w="82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等级</w:t>
            </w:r>
          </w:p>
        </w:tc>
        <w:tc>
          <w:tcPr>
            <w:tcW w:w="601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工程设计条件</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Ⅰ级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功能单一、技术要求简单的小型公共建筑工程；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高度民主&lt;24m的一般公共建筑工程；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小型仓储建筑工程；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简单的设备用房及其他配套用房工程；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5. 简单的建筑环境设计及室外工程；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6. 相当于一星级饭店及以下标准的室内装修工程；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7. 人防疏散干道、支干道及人防连接通道等人防配套工程</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Ⅱ级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大中型公共建筑工程；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技术要求较复杂或有地区性意见的小型公共建筑工程；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高度24～50m的一般公共建筑工程；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20层及以下一般标准的居住建筑工程；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5. 仿古建筑、一般标准的古建筑、保护性建筑以及地下建筑工程；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6. 大中型仓储建筑工程；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7. 一般标准的建筑环境设计和室外工程；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8. 相当于二、三星级饭店标准的室内装修工程；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9. 防护级别为四级及以下同时建筑面积&lt;10000㎡的人防工程</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Ⅲ级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高级大型公共建筑工程；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技术要求复杂或具有经济、文化、历史等意义的省（市）级中小型公共建筑工程；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高度&gt;50m的公共建筑工程；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20层以上居住建筑和20层以下高标准居住建筑工程；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5. 高标准的古建筑、保护性建筑和地下建筑工程；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6. 高标准的建筑环境设计和室外工程；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7. 相当于四、五星级饭店标准的室内装修，特殊声学装修工程；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8. 防护级别为三级以上或者建筑面积≥10000㎡的人防工程</w:t>
            </w:r>
          </w:p>
        </w:tc>
      </w:tr>
    </w:tbl>
    <w:p w:rsidR="00CB7D0C" w:rsidRPr="00CB7D0C" w:rsidRDefault="00CB7D0C" w:rsidP="00CB7D0C">
      <w:pPr>
        <w:widowControl/>
        <w:shd w:val="clear" w:color="auto" w:fill="FFFFFF"/>
        <w:ind w:firstLine="195"/>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注：1、大型建筑工程指20001㎡以上的建筑，中型指5001～20000㎡的建筑，小型指5000㎡以下的建筑；</w:t>
      </w:r>
    </w:p>
    <w:p w:rsidR="00CB7D0C" w:rsidRPr="00CB7D0C" w:rsidRDefault="00CB7D0C" w:rsidP="00CB7D0C">
      <w:pPr>
        <w:widowControl/>
        <w:shd w:val="clear" w:color="auto" w:fill="FFFFFF"/>
        <w:ind w:firstLine="210"/>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2、古建筑、仿古建筑、保护性建筑等，根据具体情况，附加调整系数为1.5；</w:t>
      </w:r>
    </w:p>
    <w:p w:rsidR="00CB7D0C" w:rsidRPr="00CB7D0C" w:rsidRDefault="00CB7D0C" w:rsidP="00CB7D0C">
      <w:pPr>
        <w:widowControl/>
        <w:shd w:val="clear" w:color="auto" w:fill="FFFFFF"/>
        <w:ind w:firstLine="195"/>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3、智能建筑弱电系统设计，以弱电系统的设计概算为计费额附加调整系数为1.3；</w:t>
      </w:r>
    </w:p>
    <w:p w:rsidR="00CB7D0C" w:rsidRPr="00CB7D0C" w:rsidRDefault="00CB7D0C" w:rsidP="00CB7D0C">
      <w:pPr>
        <w:widowControl/>
        <w:shd w:val="clear" w:color="auto" w:fill="FFFFFF"/>
        <w:ind w:firstLine="195"/>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lastRenderedPageBreak/>
        <w:t>4、室内装修设计以室内装修的设计概算计费额，附加调整系数为1.5；</w:t>
      </w:r>
    </w:p>
    <w:p w:rsidR="00CB7D0C" w:rsidRPr="00CB7D0C" w:rsidRDefault="00CB7D0C" w:rsidP="00CB7D0C">
      <w:pPr>
        <w:widowControl/>
        <w:shd w:val="clear" w:color="auto" w:fill="FFFFFF"/>
        <w:ind w:firstLine="195"/>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5、特殊声学装修设计，以声学装修的设计概算为计费额，附加调整系数为2.0；</w:t>
      </w:r>
    </w:p>
    <w:p w:rsidR="00CB7D0C" w:rsidRPr="00CB7D0C" w:rsidRDefault="00CB7D0C" w:rsidP="00CB7D0C">
      <w:pPr>
        <w:widowControl/>
        <w:shd w:val="clear" w:color="auto" w:fill="FFFFFF"/>
        <w:ind w:firstLine="195"/>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6、建筑总平面布置或者小区规划设计，根据工程的复杂程度，按照没15000元／ha计算收费。</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②园林绿化工程复杂程度表表2.3-3</w:t>
      </w:r>
    </w:p>
    <w:tbl>
      <w:tblPr>
        <w:tblW w:w="10155" w:type="dxa"/>
        <w:tblCellMar>
          <w:left w:w="0" w:type="dxa"/>
          <w:right w:w="0" w:type="dxa"/>
        </w:tblCellMar>
        <w:tblLook w:val="04A0"/>
      </w:tblPr>
      <w:tblGrid>
        <w:gridCol w:w="1229"/>
        <w:gridCol w:w="8926"/>
      </w:tblGrid>
      <w:tr w:rsidR="00CB7D0C" w:rsidRPr="00CB7D0C" w:rsidTr="00CB7D0C">
        <w:trPr>
          <w:trHeight w:val="435"/>
        </w:trPr>
        <w:tc>
          <w:tcPr>
            <w:tcW w:w="82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等级</w:t>
            </w:r>
          </w:p>
        </w:tc>
        <w:tc>
          <w:tcPr>
            <w:tcW w:w="601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工程设计条件</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Ⅰ级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一般标准的道路绿化工程；</w:t>
            </w:r>
          </w:p>
          <w:p w:rsidR="00CB7D0C" w:rsidRPr="00CB7D0C" w:rsidRDefault="00CB7D0C" w:rsidP="00CB7D0C">
            <w:pPr>
              <w:widowControl/>
              <w:wordWrap w:val="0"/>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片林、风景林等工程</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Ⅱ级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标准较高的道路绿化工程；</w:t>
            </w:r>
          </w:p>
          <w:p w:rsidR="00CB7D0C" w:rsidRPr="00CB7D0C" w:rsidRDefault="00CB7D0C" w:rsidP="00CB7D0C">
            <w:pPr>
              <w:widowControl/>
              <w:wordWrap w:val="0"/>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一般标准的风景区、公共建筑环境、企事业单位与居住区的绿化工程</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Ⅲ级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高标准的城市重点道路绿化工程；</w:t>
            </w:r>
          </w:p>
          <w:p w:rsidR="00CB7D0C" w:rsidRPr="00CB7D0C" w:rsidRDefault="00CB7D0C" w:rsidP="00CB7D0C">
            <w:pPr>
              <w:widowControl/>
              <w:wordWrap w:val="0"/>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高标准的风景区、公共建筑环境、企事业单位与居住区的绿化工程；</w:t>
            </w:r>
          </w:p>
          <w:p w:rsidR="00CB7D0C" w:rsidRPr="00CB7D0C" w:rsidRDefault="00CB7D0C" w:rsidP="00CB7D0C">
            <w:pPr>
              <w:widowControl/>
              <w:wordWrap w:val="0"/>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公元、度假村、高尔夫球场、广场、街心花园、园林小品、屋顶花园、室内花园等绿化工程</w:t>
            </w: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③市政公用工程复杂程度表表2.3-4</w:t>
      </w:r>
    </w:p>
    <w:tbl>
      <w:tblPr>
        <w:tblW w:w="10155" w:type="dxa"/>
        <w:tblCellMar>
          <w:left w:w="0" w:type="dxa"/>
          <w:right w:w="0" w:type="dxa"/>
        </w:tblCellMar>
        <w:tblLook w:val="04A0"/>
      </w:tblPr>
      <w:tblGrid>
        <w:gridCol w:w="1229"/>
        <w:gridCol w:w="8926"/>
      </w:tblGrid>
      <w:tr w:rsidR="00CB7D0C" w:rsidRPr="00CB7D0C" w:rsidTr="00CB7D0C">
        <w:tc>
          <w:tcPr>
            <w:tcW w:w="82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等级</w:t>
            </w:r>
          </w:p>
        </w:tc>
        <w:tc>
          <w:tcPr>
            <w:tcW w:w="601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工程设计条件</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Ⅰ级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庭院户内燃气管道工程；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一般给排水地下管线（DN&lt;1.0m，无管线交叉）工程；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小型垃圾中转站，简易堆肥工程；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供热小区管网（二级网）工程</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Ⅱ级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城市调压站，瓶组站，&lt;5000户气化站、混气站，&lt;500㎡储配站工程；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城区给排水管线，一般地下管线（DN&lt;1.0m，有管线交叉），&lt;1 m</w:t>
            </w:r>
            <w:r w:rsidRPr="00CB7D0C">
              <w:rPr>
                <w:rFonts w:ascii="宋体" w:eastAsia="宋体" w:hAnsi="宋体" w:cs="宋体" w:hint="eastAsia"/>
                <w:kern w:val="0"/>
                <w:sz w:val="23"/>
                <w:szCs w:val="23"/>
                <w:vertAlign w:val="superscript"/>
              </w:rPr>
              <w:t>3</w:t>
            </w:r>
            <w:r w:rsidRPr="00CB7D0C">
              <w:rPr>
                <w:rFonts w:ascii="宋体" w:eastAsia="宋体" w:hAnsi="宋体" w:cs="宋体" w:hint="eastAsia"/>
                <w:kern w:val="0"/>
                <w:sz w:val="23"/>
                <w:szCs w:val="23"/>
              </w:rPr>
              <w:t>/s加压泵站，简单构筑物工程；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&gt;100t/天的大型垃圾中转站，垃圾填埋场、机械化快速堆肥工程；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≤2MW的小型换热站工程</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Ⅲ级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城市超高压调压站，市内管线及加压站，穿、跨越管网，≥5000户气化站、混气站，≥500 m</w:t>
            </w:r>
            <w:r w:rsidRPr="00CB7D0C">
              <w:rPr>
                <w:rFonts w:ascii="宋体" w:eastAsia="宋体" w:hAnsi="宋体" w:cs="宋体" w:hint="eastAsia"/>
                <w:kern w:val="0"/>
                <w:sz w:val="23"/>
                <w:szCs w:val="23"/>
                <w:vertAlign w:val="superscript"/>
              </w:rPr>
              <w:t>3</w:t>
            </w:r>
            <w:r w:rsidRPr="00CB7D0C">
              <w:rPr>
                <w:rFonts w:ascii="宋体" w:eastAsia="宋体" w:hAnsi="宋体" w:cs="宋体" w:hint="eastAsia"/>
                <w:kern w:val="0"/>
                <w:sz w:val="23"/>
                <w:szCs w:val="23"/>
              </w:rPr>
              <w:t>储配站、门站、气源厂、加气站工程；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大型复杂给排水管线，市政管网，大型泵站、水闸等构筑物，净水厂，污水处理厂工程；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垃圾系统工程及综合处理与利用、焚烧工程；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锅炉底，穿、跨越供热管网，&gt;2MW换热站工程；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5. 海底排污管线，海水去排水、淡化及水处理工程</w:t>
            </w: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④广播电视、邮政、电信工程复杂程度表             表2.3-5</w:t>
      </w:r>
    </w:p>
    <w:tbl>
      <w:tblPr>
        <w:tblW w:w="10155" w:type="dxa"/>
        <w:tblCellMar>
          <w:left w:w="0" w:type="dxa"/>
          <w:right w:w="0" w:type="dxa"/>
        </w:tblCellMar>
        <w:tblLook w:val="04A0"/>
      </w:tblPr>
      <w:tblGrid>
        <w:gridCol w:w="1229"/>
        <w:gridCol w:w="8926"/>
      </w:tblGrid>
      <w:tr w:rsidR="00CB7D0C" w:rsidRPr="00CB7D0C" w:rsidTr="00CB7D0C">
        <w:tc>
          <w:tcPr>
            <w:tcW w:w="82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lastRenderedPageBreak/>
              <w:t>等级</w:t>
            </w:r>
          </w:p>
        </w:tc>
        <w:tc>
          <w:tcPr>
            <w:tcW w:w="6012"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工程设计条件</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Ⅰ级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广播电视中心设备（广播1套，电视1～2套）工程；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中波发射台设备（单机功率P≤1kW）工程；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短波发射台设备（单机功率P≤50kW）工程；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电视、调频发射塔（台）设备（单机功率P≤1kW）工程；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5. 广播电视收测台设备工程；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6. 三级邮件处理中心工艺工程；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7. 简单的电信工程</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Ⅱ级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广播电视中心设备（广播2～3套，电视3～5套）工程；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中波发射台设备（单机功率1 kW&lt; P≤20kW）工程；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短波发射台设备（单机功率50 kW&lt; P≤150kW）工程；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电视、调频发射塔（台）设备（单机功率1 kW&lt;P≤10kW，塔高&lt;200m）工程；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5. 广播电视传输网络工程；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6. 二级邮件处理中心及各类转运工艺工程；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7. 较复杂的电信工程</w:t>
            </w:r>
          </w:p>
        </w:tc>
      </w:tr>
      <w:tr w:rsidR="00CB7D0C" w:rsidRPr="00CB7D0C" w:rsidTr="00CB7D0C">
        <w:tc>
          <w:tcPr>
            <w:tcW w:w="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spacing w:line="405" w:lineRule="atLeast"/>
              <w:jc w:val="left"/>
              <w:rPr>
                <w:rFonts w:ascii="宋体" w:eastAsia="宋体" w:hAnsi="宋体" w:cs="宋体"/>
                <w:kern w:val="0"/>
                <w:sz w:val="24"/>
                <w:szCs w:val="24"/>
              </w:rPr>
            </w:pPr>
            <w:r w:rsidRPr="00CB7D0C">
              <w:rPr>
                <w:rFonts w:ascii="宋体" w:eastAsia="宋体" w:hAnsi="宋体" w:cs="宋体" w:hint="eastAsia"/>
                <w:kern w:val="0"/>
                <w:sz w:val="23"/>
                <w:szCs w:val="23"/>
              </w:rPr>
              <w:t>Ⅲ级</w:t>
            </w:r>
          </w:p>
        </w:tc>
        <w:tc>
          <w:tcPr>
            <w:tcW w:w="6012"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1. 广播电视中心设备（广播4套以上，电视6套以上）工程；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2. 中波发射台设备（单机功率P&gt;20kW）工程；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3. 短波发射台设备（单机功率P&gt;150kW）工程；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4. 电视、调频发射塔（台）设备（单机功率P&gt;10kW，塔高≥200m）工程；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5. 电声设备、演播厅、录（播）音馆、摄影棚设备工程；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6. 广播电视卫星地球站、微波站设备工程；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7. 广播电视光缆、电缆节目传输工程；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8. 一级邮件处理中心工艺工程；</w:t>
            </w:r>
          </w:p>
          <w:p w:rsidR="00CB7D0C" w:rsidRPr="00CB7D0C" w:rsidRDefault="00CB7D0C" w:rsidP="00CB7D0C">
            <w:pPr>
              <w:widowControl/>
              <w:wordWrap w:val="0"/>
              <w:spacing w:line="405" w:lineRule="atLeast"/>
              <w:ind w:left="360"/>
              <w:jc w:val="left"/>
              <w:rPr>
                <w:rFonts w:ascii="宋体" w:eastAsia="宋体" w:hAnsi="宋体" w:cs="宋体"/>
                <w:kern w:val="0"/>
                <w:sz w:val="24"/>
                <w:szCs w:val="24"/>
              </w:rPr>
            </w:pPr>
            <w:r w:rsidRPr="00CB7D0C">
              <w:rPr>
                <w:rFonts w:ascii="宋体" w:eastAsia="宋体" w:hAnsi="宋体" w:cs="宋体" w:hint="eastAsia"/>
                <w:kern w:val="0"/>
                <w:sz w:val="23"/>
                <w:szCs w:val="23"/>
              </w:rPr>
              <w:t>9. 复杂的电信工程</w:t>
            </w: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2.3.4 工程设计收费专业调整系数</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工程设计收费专业调整系数表表2.3-6</w:t>
      </w:r>
    </w:p>
    <w:tbl>
      <w:tblPr>
        <w:tblW w:w="10155" w:type="dxa"/>
        <w:tblCellMar>
          <w:left w:w="0" w:type="dxa"/>
          <w:right w:w="0" w:type="dxa"/>
        </w:tblCellMar>
        <w:tblLook w:val="04A0"/>
      </w:tblPr>
      <w:tblGrid>
        <w:gridCol w:w="5547"/>
        <w:gridCol w:w="4608"/>
      </w:tblGrid>
      <w:tr w:rsidR="00CB7D0C" w:rsidRPr="00CB7D0C" w:rsidTr="00CB7D0C">
        <w:trPr>
          <w:trHeight w:val="390"/>
        </w:trPr>
        <w:tc>
          <w:tcPr>
            <w:tcW w:w="382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ind w:firstLine="630"/>
              <w:jc w:val="left"/>
              <w:rPr>
                <w:rFonts w:ascii="宋体" w:eastAsia="宋体" w:hAnsi="宋体" w:cs="宋体"/>
                <w:kern w:val="0"/>
                <w:sz w:val="24"/>
                <w:szCs w:val="24"/>
              </w:rPr>
            </w:pPr>
            <w:r w:rsidRPr="00CB7D0C">
              <w:rPr>
                <w:rFonts w:ascii="宋体" w:eastAsia="宋体" w:hAnsi="宋体" w:cs="宋体" w:hint="eastAsia"/>
                <w:kern w:val="0"/>
                <w:sz w:val="23"/>
                <w:szCs w:val="23"/>
              </w:rPr>
              <w:t>工程类型</w:t>
            </w:r>
          </w:p>
        </w:tc>
        <w:tc>
          <w:tcPr>
            <w:tcW w:w="31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专业调整系数</w:t>
            </w:r>
          </w:p>
        </w:tc>
      </w:tr>
      <w:tr w:rsidR="00CB7D0C" w:rsidRPr="00CB7D0C" w:rsidTr="00CB7D0C">
        <w:trPr>
          <w:trHeight w:val="390"/>
        </w:trPr>
        <w:tc>
          <w:tcPr>
            <w:tcW w:w="3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邮政工艺工程</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0.8</w:t>
            </w:r>
          </w:p>
        </w:tc>
      </w:tr>
      <w:tr w:rsidR="00CB7D0C" w:rsidRPr="00CB7D0C" w:rsidTr="00CB7D0C">
        <w:trPr>
          <w:trHeight w:val="390"/>
        </w:trPr>
        <w:tc>
          <w:tcPr>
            <w:tcW w:w="3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建筑、市政、电信工程</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w:t>
            </w:r>
          </w:p>
        </w:tc>
      </w:tr>
      <w:tr w:rsidR="00CB7D0C" w:rsidRPr="00CB7D0C" w:rsidTr="00CB7D0C">
        <w:trPr>
          <w:trHeight w:val="390"/>
        </w:trPr>
        <w:tc>
          <w:tcPr>
            <w:tcW w:w="382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人防、园林绿化、广电工艺工程</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1.1</w:t>
            </w: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jc w:val="center"/>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第三部分  工程咨询收费标准</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3.1说明</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lastRenderedPageBreak/>
        <w:t>3.1.1</w:t>
      </w:r>
      <w:r w:rsidRPr="00CB7D0C">
        <w:rPr>
          <w:rFonts w:ascii="宋体" w:eastAsia="宋体" w:hAnsi="宋体" w:cs="宋体" w:hint="eastAsia"/>
          <w:color w:val="333333"/>
          <w:spacing w:val="8"/>
          <w:kern w:val="0"/>
          <w:sz w:val="23"/>
          <w:szCs w:val="23"/>
        </w:rPr>
        <w:t> 工程咨询收费根据不同工程咨询项目的性质、内容，采取以下方法计取费用：按建设项目估算投资额，分档计算工程咨询费用（见表3.2-1，3.3-1）；按工程咨询工作所耗工日计算工程咨询费用（见表3.4-1）。</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3.1.2</w:t>
      </w:r>
      <w:r w:rsidRPr="00CB7D0C">
        <w:rPr>
          <w:rFonts w:ascii="宋体" w:eastAsia="宋体" w:hAnsi="宋体" w:cs="宋体" w:hint="eastAsia"/>
          <w:color w:val="333333"/>
          <w:spacing w:val="8"/>
          <w:kern w:val="0"/>
          <w:sz w:val="23"/>
          <w:szCs w:val="23"/>
        </w:rPr>
        <w:t>采取按建设项目估算投资额分档计费的，以建设项目的项目建议书或者可行性研究报告的估算投资为计费依据。</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3.1.3</w:t>
      </w:r>
      <w:r w:rsidRPr="00CB7D0C">
        <w:rPr>
          <w:rFonts w:ascii="宋体" w:eastAsia="宋体" w:hAnsi="宋体" w:cs="宋体" w:hint="eastAsia"/>
          <w:color w:val="333333"/>
          <w:spacing w:val="8"/>
          <w:kern w:val="0"/>
          <w:sz w:val="23"/>
          <w:szCs w:val="23"/>
        </w:rPr>
        <w:t>我院在编制项目建议书或者可行性研究报告时需要勘察、试验，评估项目建议书或者可行性研究报告时需要对勘察、试验数据进行复核，工作量明显增加需要加收费用的，可由双方另行协商加收的费用额和支付方式。</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3.1.4 </w:t>
      </w:r>
      <w:r w:rsidRPr="00CB7D0C">
        <w:rPr>
          <w:rFonts w:ascii="宋体" w:eastAsia="宋体" w:hAnsi="宋体" w:cs="宋体" w:hint="eastAsia"/>
          <w:color w:val="333333"/>
          <w:spacing w:val="8"/>
          <w:kern w:val="0"/>
          <w:sz w:val="23"/>
          <w:szCs w:val="23"/>
        </w:rPr>
        <w:t>工程咨询服务中，我院提供自有专利、专有技术，需要另行支付费用的，国家有规定的，按规定执行；没有规定的，由双方协商费用额和支付方式。</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3.1.5</w:t>
      </w:r>
      <w:r w:rsidRPr="00CB7D0C">
        <w:rPr>
          <w:rFonts w:ascii="宋体" w:eastAsia="宋体" w:hAnsi="宋体" w:cs="宋体" w:hint="eastAsia"/>
          <w:color w:val="333333"/>
          <w:spacing w:val="8"/>
          <w:kern w:val="0"/>
          <w:sz w:val="23"/>
          <w:szCs w:val="23"/>
        </w:rPr>
        <w:t>委托方应按合同规定及时向我院提供开展咨询业务所必须的工作条件和资料。由于委托方原因造成咨询工作量增加或延长工程咨询期限的，我院可与委托方协商加收费用。</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附件一</w:t>
      </w: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3.2 按建设项目估算投资额分档收费标准</w:t>
      </w:r>
    </w:p>
    <w:p w:rsidR="00CB7D0C" w:rsidRPr="00CB7D0C" w:rsidRDefault="00CB7D0C" w:rsidP="00CB7D0C">
      <w:pPr>
        <w:widowControl/>
        <w:shd w:val="clear" w:color="auto" w:fill="FFFFFF"/>
        <w:ind w:firstLine="2940"/>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表3.2-1         单位：万元</w:t>
      </w:r>
    </w:p>
    <w:tbl>
      <w:tblPr>
        <w:tblW w:w="10155" w:type="dxa"/>
        <w:tblCellMar>
          <w:left w:w="0" w:type="dxa"/>
          <w:right w:w="0" w:type="dxa"/>
        </w:tblCellMar>
        <w:tblLook w:val="04A0"/>
      </w:tblPr>
      <w:tblGrid>
        <w:gridCol w:w="1003"/>
        <w:gridCol w:w="933"/>
        <w:gridCol w:w="1002"/>
        <w:gridCol w:w="802"/>
        <w:gridCol w:w="802"/>
        <w:gridCol w:w="802"/>
        <w:gridCol w:w="1002"/>
        <w:gridCol w:w="1002"/>
        <w:gridCol w:w="2807"/>
      </w:tblGrid>
      <w:tr w:rsidR="00CB7D0C" w:rsidRPr="00CB7D0C" w:rsidTr="00CB7D0C">
        <w:trPr>
          <w:trHeight w:val="1560"/>
        </w:trPr>
        <w:tc>
          <w:tcPr>
            <w:tcW w:w="720" w:type="dxa"/>
            <w:tcBorders>
              <w:top w:val="single" w:sz="6" w:space="0" w:color="auto"/>
              <w:left w:val="single" w:sz="6" w:space="0" w:color="auto"/>
              <w:bottom w:val="single" w:sz="6" w:space="0" w:color="000000"/>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估算投</w:t>
            </w:r>
          </w:p>
          <w:p w:rsidR="00CB7D0C" w:rsidRPr="00CB7D0C" w:rsidRDefault="00CB7D0C" w:rsidP="00CB7D0C">
            <w:pPr>
              <w:widowControl/>
              <w:wordWrap w:val="0"/>
              <w:ind w:firstLine="210"/>
              <w:jc w:val="left"/>
              <w:rPr>
                <w:rFonts w:ascii="宋体" w:eastAsia="宋体" w:hAnsi="宋体" w:cs="宋体"/>
                <w:kern w:val="0"/>
                <w:sz w:val="24"/>
                <w:szCs w:val="24"/>
              </w:rPr>
            </w:pPr>
            <w:r w:rsidRPr="00CB7D0C">
              <w:rPr>
                <w:rFonts w:ascii="宋体" w:eastAsia="宋体" w:hAnsi="宋体" w:cs="宋体" w:hint="eastAsia"/>
                <w:kern w:val="0"/>
                <w:sz w:val="23"/>
                <w:szCs w:val="23"/>
              </w:rPr>
              <w:t>资额</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咨询</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评估</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项目</w:t>
            </w:r>
          </w:p>
        </w:tc>
        <w:tc>
          <w:tcPr>
            <w:tcW w:w="576" w:type="dxa"/>
            <w:tcBorders>
              <w:top w:val="single" w:sz="6" w:space="0" w:color="auto"/>
              <w:left w:val="nil"/>
              <w:bottom w:val="single" w:sz="6" w:space="0" w:color="000000"/>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1000万元以下（含1000万元）</w:t>
            </w: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1000万元-3000万元（含3000万元）</w:t>
            </w:r>
          </w:p>
        </w:tc>
        <w:tc>
          <w:tcPr>
            <w:tcW w:w="576"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3000万元--1亿元</w:t>
            </w:r>
          </w:p>
        </w:tc>
        <w:tc>
          <w:tcPr>
            <w:tcW w:w="576"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1亿元--</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5亿元</w:t>
            </w:r>
          </w:p>
        </w:tc>
        <w:tc>
          <w:tcPr>
            <w:tcW w:w="576"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5亿元</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亿元</w:t>
            </w: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10亿元</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50亿元</w:t>
            </w: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50亿元</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以上</w:t>
            </w:r>
          </w:p>
        </w:tc>
        <w:tc>
          <w:tcPr>
            <w:tcW w:w="201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备  注</w:t>
            </w:r>
          </w:p>
        </w:tc>
      </w:tr>
      <w:tr w:rsidR="00CB7D0C" w:rsidRPr="00CB7D0C" w:rsidTr="00CB7D0C">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一、编制项目建议书</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0.8-2</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2-6</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6-14</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14-37</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37-55</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55-100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100-</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125</w:t>
            </w:r>
          </w:p>
        </w:tc>
        <w:tc>
          <w:tcPr>
            <w:tcW w:w="2016"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1、建设项目估算投资额是指项目建议书或者可行性研究报告的估算投资额。</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2、建设项目的具体收费标准，根据估算投资额在相对应的区间内用插入发计算。</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3、根据行业特点和各行业内部不同类别工程的复杂程度，计算咨询费用时可分别乘以行业调整系数和工程复杂程度调整系数（见表3.3-1）</w:t>
            </w:r>
          </w:p>
        </w:tc>
      </w:tr>
      <w:tr w:rsidR="00CB7D0C" w:rsidRPr="00CB7D0C" w:rsidTr="00CB7D0C">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二、编制可行性研究报告</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4-12</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12-28</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28-75</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75-</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110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110-</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200-</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250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三、评估项目建议书</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0.8-</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1.5-4</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4-8</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8-12</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12-15</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15-17</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17-20</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四、评估可行性研究报告</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2-5</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5-10</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10-15</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15-20</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20-25</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25-35</w:t>
            </w:r>
          </w:p>
        </w:tc>
        <w:tc>
          <w:tcPr>
            <w:tcW w:w="0" w:type="auto"/>
            <w:vMerge/>
            <w:tcBorders>
              <w:top w:val="nil"/>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p>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3.3 按建设项目估算投资额分档收费的调整系数</w:t>
      </w:r>
      <w:r w:rsidRPr="00CB7D0C">
        <w:rPr>
          <w:rFonts w:ascii="宋体" w:eastAsia="宋体" w:hAnsi="宋体" w:cs="宋体" w:hint="eastAsia"/>
          <w:color w:val="333333"/>
          <w:spacing w:val="8"/>
          <w:kern w:val="0"/>
          <w:sz w:val="23"/>
          <w:szCs w:val="23"/>
        </w:rPr>
        <w:t>      表3.3-1</w:t>
      </w:r>
    </w:p>
    <w:tbl>
      <w:tblPr>
        <w:tblW w:w="10155" w:type="dxa"/>
        <w:tblCellMar>
          <w:left w:w="0" w:type="dxa"/>
          <w:right w:w="0" w:type="dxa"/>
        </w:tblCellMar>
        <w:tblLook w:val="04A0"/>
      </w:tblPr>
      <w:tblGrid>
        <w:gridCol w:w="638"/>
        <w:gridCol w:w="539"/>
        <w:gridCol w:w="5220"/>
        <w:gridCol w:w="1461"/>
        <w:gridCol w:w="2297"/>
      </w:tblGrid>
      <w:tr w:rsidR="00CB7D0C" w:rsidRPr="00CB7D0C" w:rsidTr="00CB7D0C">
        <w:trPr>
          <w:trHeight w:val="390"/>
        </w:trPr>
        <w:tc>
          <w:tcPr>
            <w:tcW w:w="80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p>
        </w:tc>
        <w:tc>
          <w:tcPr>
            <w:tcW w:w="3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行业调整系数</w:t>
            </w:r>
          </w:p>
        </w:tc>
        <w:tc>
          <w:tcPr>
            <w:tcW w:w="1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调整系数</w:t>
            </w:r>
          </w:p>
        </w:tc>
        <w:tc>
          <w:tcPr>
            <w:tcW w:w="15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备注</w:t>
            </w:r>
          </w:p>
        </w:tc>
      </w:tr>
      <w:tr w:rsidR="00CB7D0C" w:rsidRPr="00CB7D0C" w:rsidTr="00CB7D0C">
        <w:trPr>
          <w:trHeight w:val="390"/>
        </w:trPr>
        <w:tc>
          <w:tcPr>
            <w:tcW w:w="43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行</w:t>
            </w:r>
          </w:p>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lastRenderedPageBreak/>
              <w:t>业</w:t>
            </w: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lastRenderedPageBreak/>
              <w:t>1</w:t>
            </w:r>
          </w:p>
        </w:tc>
        <w:tc>
          <w:tcPr>
            <w:tcW w:w="3600"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石油、天然气、水利、水电、交通（水运）</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w:t>
            </w:r>
          </w:p>
        </w:tc>
        <w:tc>
          <w:tcPr>
            <w:tcW w:w="1584"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以表3.2-1所列收费</w:t>
            </w:r>
            <w:r w:rsidRPr="00CB7D0C">
              <w:rPr>
                <w:rFonts w:ascii="宋体" w:eastAsia="宋体" w:hAnsi="宋体" w:cs="宋体" w:hint="eastAsia"/>
                <w:kern w:val="0"/>
                <w:sz w:val="23"/>
                <w:szCs w:val="23"/>
              </w:rPr>
              <w:lastRenderedPageBreak/>
              <w:t>标准为1。</w:t>
            </w:r>
          </w:p>
        </w:tc>
      </w:tr>
      <w:tr w:rsidR="00CB7D0C" w:rsidRPr="00CB7D0C" w:rsidTr="00CB7D0C">
        <w:trPr>
          <w:trHeight w:val="390"/>
        </w:trPr>
        <w:tc>
          <w:tcPr>
            <w:tcW w:w="0" w:type="auto"/>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2</w:t>
            </w:r>
          </w:p>
        </w:tc>
        <w:tc>
          <w:tcPr>
            <w:tcW w:w="3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商业、林业、建筑</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0.8</w:t>
            </w:r>
          </w:p>
        </w:tc>
        <w:tc>
          <w:tcPr>
            <w:tcW w:w="0" w:type="auto"/>
            <w:vMerge/>
            <w:tcBorders>
              <w:top w:val="single" w:sz="6" w:space="0" w:color="auto"/>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r w:rsidR="00CB7D0C" w:rsidRPr="00CB7D0C" w:rsidTr="00CB7D0C">
        <w:trPr>
          <w:trHeight w:val="390"/>
        </w:trPr>
        <w:tc>
          <w:tcPr>
            <w:tcW w:w="0" w:type="auto"/>
            <w:vMerge/>
            <w:tcBorders>
              <w:top w:val="nil"/>
              <w:left w:val="single" w:sz="6" w:space="0" w:color="auto"/>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3</w:t>
            </w:r>
          </w:p>
        </w:tc>
        <w:tc>
          <w:tcPr>
            <w:tcW w:w="3600" w:type="dxa"/>
            <w:tcBorders>
              <w:top w:val="nil"/>
              <w:left w:val="nil"/>
              <w:bottom w:val="single" w:sz="6" w:space="0" w:color="auto"/>
              <w:right w:val="single" w:sz="6" w:space="0" w:color="auto"/>
            </w:tcBorders>
            <w:tcMar>
              <w:top w:w="0" w:type="dxa"/>
              <w:left w:w="105" w:type="dxa"/>
              <w:bottom w:w="0" w:type="dxa"/>
              <w:right w:w="105" w:type="dxa"/>
            </w:tcMa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交通（公路）、铁道、市政公用工程</w:t>
            </w:r>
          </w:p>
        </w:tc>
        <w:tc>
          <w:tcPr>
            <w:tcW w:w="10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0.7</w:t>
            </w:r>
          </w:p>
        </w:tc>
        <w:tc>
          <w:tcPr>
            <w:tcW w:w="0" w:type="auto"/>
            <w:vMerge/>
            <w:tcBorders>
              <w:top w:val="single" w:sz="6" w:space="0" w:color="auto"/>
              <w:left w:val="nil"/>
              <w:bottom w:val="single" w:sz="6" w:space="0" w:color="auto"/>
              <w:right w:val="single" w:sz="6" w:space="0" w:color="auto"/>
            </w:tcBorders>
            <w:vAlign w:val="center"/>
            <w:hideMark/>
          </w:tcPr>
          <w:p w:rsidR="00CB7D0C" w:rsidRPr="00CB7D0C" w:rsidRDefault="00CB7D0C" w:rsidP="00CB7D0C">
            <w:pPr>
              <w:widowControl/>
              <w:jc w:val="left"/>
              <w:rPr>
                <w:rFonts w:ascii="宋体" w:eastAsia="宋体" w:hAnsi="宋体" w:cs="宋体"/>
                <w:kern w:val="0"/>
                <w:sz w:val="24"/>
                <w:szCs w:val="24"/>
              </w:rPr>
            </w:pP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b/>
          <w:bCs/>
          <w:color w:val="333333"/>
          <w:spacing w:val="8"/>
          <w:kern w:val="0"/>
          <w:sz w:val="23"/>
        </w:rPr>
        <w:t>3.4 工程咨询人员公日费用标准 </w:t>
      </w:r>
      <w:r w:rsidRPr="00CB7D0C">
        <w:rPr>
          <w:rFonts w:ascii="宋体" w:eastAsia="宋体" w:hAnsi="宋体" w:cs="宋体" w:hint="eastAsia"/>
          <w:color w:val="333333"/>
          <w:spacing w:val="8"/>
          <w:kern w:val="0"/>
          <w:sz w:val="23"/>
          <w:szCs w:val="23"/>
        </w:rPr>
        <w:t>         表3.4-1     单位：元</w:t>
      </w:r>
    </w:p>
    <w:tbl>
      <w:tblPr>
        <w:tblW w:w="10155" w:type="dxa"/>
        <w:tblCellMar>
          <w:left w:w="0" w:type="dxa"/>
          <w:right w:w="0" w:type="dxa"/>
        </w:tblCellMar>
        <w:tblLook w:val="04A0"/>
      </w:tblPr>
      <w:tblGrid>
        <w:gridCol w:w="5887"/>
        <w:gridCol w:w="4268"/>
      </w:tblGrid>
      <w:tr w:rsidR="00CB7D0C" w:rsidRPr="00CB7D0C" w:rsidTr="00CB7D0C">
        <w:trPr>
          <w:trHeight w:val="390"/>
        </w:trPr>
        <w:tc>
          <w:tcPr>
            <w:tcW w:w="39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咨询人员职级</w:t>
            </w:r>
          </w:p>
        </w:tc>
        <w:tc>
          <w:tcPr>
            <w:tcW w:w="28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工日费用标准</w:t>
            </w:r>
          </w:p>
        </w:tc>
      </w:tr>
      <w:tr w:rsidR="00CB7D0C" w:rsidRPr="00CB7D0C" w:rsidTr="00CB7D0C">
        <w:trPr>
          <w:trHeight w:val="390"/>
        </w:trPr>
        <w:tc>
          <w:tcPr>
            <w:tcW w:w="39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一、高级专家</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1200</w:t>
            </w:r>
          </w:p>
        </w:tc>
      </w:tr>
      <w:tr w:rsidR="00CB7D0C" w:rsidRPr="00CB7D0C" w:rsidTr="00CB7D0C">
        <w:trPr>
          <w:trHeight w:val="390"/>
        </w:trPr>
        <w:tc>
          <w:tcPr>
            <w:tcW w:w="39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二、高级专业技术职称的咨询人员</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1000</w:t>
            </w:r>
          </w:p>
        </w:tc>
      </w:tr>
      <w:tr w:rsidR="00CB7D0C" w:rsidRPr="00CB7D0C" w:rsidTr="00CB7D0C">
        <w:trPr>
          <w:trHeight w:val="390"/>
        </w:trPr>
        <w:tc>
          <w:tcPr>
            <w:tcW w:w="39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三、中级专业技术职称的咨询人员</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B7D0C" w:rsidRPr="00CB7D0C" w:rsidRDefault="00CB7D0C" w:rsidP="00CB7D0C">
            <w:pPr>
              <w:widowControl/>
              <w:wordWrap w:val="0"/>
              <w:jc w:val="left"/>
              <w:rPr>
                <w:rFonts w:ascii="宋体" w:eastAsia="宋体" w:hAnsi="宋体" w:cs="宋体"/>
                <w:kern w:val="0"/>
                <w:sz w:val="24"/>
                <w:szCs w:val="24"/>
              </w:rPr>
            </w:pPr>
            <w:r w:rsidRPr="00CB7D0C">
              <w:rPr>
                <w:rFonts w:ascii="宋体" w:eastAsia="宋体" w:hAnsi="宋体" w:cs="宋体" w:hint="eastAsia"/>
                <w:kern w:val="0"/>
                <w:sz w:val="23"/>
                <w:szCs w:val="23"/>
              </w:rPr>
              <w:t>800</w:t>
            </w:r>
          </w:p>
        </w:tc>
      </w:tr>
    </w:tbl>
    <w:p w:rsidR="00CB7D0C" w:rsidRPr="00CB7D0C" w:rsidRDefault="00CB7D0C" w:rsidP="00CB7D0C">
      <w:pPr>
        <w:widowControl/>
        <w:shd w:val="clear" w:color="auto" w:fill="FFFFFF"/>
        <w:rPr>
          <w:rFonts w:ascii="微软雅黑" w:eastAsia="微软雅黑" w:hAnsi="微软雅黑" w:cs="宋体" w:hint="eastAsia"/>
          <w:color w:val="333333"/>
          <w:spacing w:val="8"/>
          <w:kern w:val="0"/>
          <w:sz w:val="24"/>
          <w:szCs w:val="24"/>
        </w:rPr>
      </w:pPr>
      <w:r w:rsidRPr="00CB7D0C">
        <w:rPr>
          <w:rFonts w:ascii="宋体" w:eastAsia="宋体" w:hAnsi="宋体" w:cs="宋体" w:hint="eastAsia"/>
          <w:color w:val="333333"/>
          <w:spacing w:val="8"/>
          <w:kern w:val="0"/>
          <w:sz w:val="23"/>
          <w:szCs w:val="23"/>
        </w:rPr>
        <w:t>注：项目选址研究报告参照表3.2-1执行。</w:t>
      </w:r>
    </w:p>
    <w:p w:rsidR="00456149" w:rsidRPr="00CB7D0C" w:rsidRDefault="00456149"/>
    <w:sectPr w:rsidR="00456149" w:rsidRPr="00CB7D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149" w:rsidRDefault="00456149" w:rsidP="00CB7D0C">
      <w:r>
        <w:separator/>
      </w:r>
    </w:p>
  </w:endnote>
  <w:endnote w:type="continuationSeparator" w:id="1">
    <w:p w:rsidR="00456149" w:rsidRDefault="00456149" w:rsidP="00CB7D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149" w:rsidRDefault="00456149" w:rsidP="00CB7D0C">
      <w:r>
        <w:separator/>
      </w:r>
    </w:p>
  </w:footnote>
  <w:footnote w:type="continuationSeparator" w:id="1">
    <w:p w:rsidR="00456149" w:rsidRDefault="00456149" w:rsidP="00CB7D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D0C"/>
    <w:rsid w:val="00456149"/>
    <w:rsid w:val="00CB7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B7D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7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7D0C"/>
    <w:rPr>
      <w:sz w:val="18"/>
      <w:szCs w:val="18"/>
    </w:rPr>
  </w:style>
  <w:style w:type="paragraph" w:styleId="a4">
    <w:name w:val="footer"/>
    <w:basedOn w:val="a"/>
    <w:link w:val="Char0"/>
    <w:uiPriority w:val="99"/>
    <w:semiHidden/>
    <w:unhideWhenUsed/>
    <w:rsid w:val="00CB7D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7D0C"/>
    <w:rPr>
      <w:sz w:val="18"/>
      <w:szCs w:val="18"/>
    </w:rPr>
  </w:style>
  <w:style w:type="character" w:customStyle="1" w:styleId="2Char">
    <w:name w:val="标题 2 Char"/>
    <w:basedOn w:val="a0"/>
    <w:link w:val="2"/>
    <w:uiPriority w:val="9"/>
    <w:rsid w:val="00CB7D0C"/>
    <w:rPr>
      <w:rFonts w:ascii="宋体" w:eastAsia="宋体" w:hAnsi="宋体" w:cs="宋体"/>
      <w:b/>
      <w:bCs/>
      <w:kern w:val="0"/>
      <w:sz w:val="36"/>
      <w:szCs w:val="36"/>
    </w:rPr>
  </w:style>
  <w:style w:type="character" w:customStyle="1" w:styleId="richmediameta">
    <w:name w:val="rich_media_meta"/>
    <w:basedOn w:val="a0"/>
    <w:rsid w:val="00CB7D0C"/>
  </w:style>
  <w:style w:type="character" w:styleId="a5">
    <w:name w:val="Hyperlink"/>
    <w:basedOn w:val="a0"/>
    <w:uiPriority w:val="99"/>
    <w:semiHidden/>
    <w:unhideWhenUsed/>
    <w:rsid w:val="00CB7D0C"/>
    <w:rPr>
      <w:color w:val="0000FF"/>
      <w:u w:val="single"/>
    </w:rPr>
  </w:style>
  <w:style w:type="character" w:styleId="a6">
    <w:name w:val="FollowedHyperlink"/>
    <w:basedOn w:val="a0"/>
    <w:uiPriority w:val="99"/>
    <w:semiHidden/>
    <w:unhideWhenUsed/>
    <w:rsid w:val="00CB7D0C"/>
    <w:rPr>
      <w:color w:val="800080"/>
      <w:u w:val="single"/>
    </w:rPr>
  </w:style>
  <w:style w:type="character" w:customStyle="1" w:styleId="apple-converted-space">
    <w:name w:val="apple-converted-space"/>
    <w:basedOn w:val="a0"/>
    <w:rsid w:val="00CB7D0C"/>
  </w:style>
  <w:style w:type="character" w:styleId="a7">
    <w:name w:val="Emphasis"/>
    <w:basedOn w:val="a0"/>
    <w:uiPriority w:val="20"/>
    <w:qFormat/>
    <w:rsid w:val="00CB7D0C"/>
    <w:rPr>
      <w:i/>
      <w:iCs/>
    </w:rPr>
  </w:style>
  <w:style w:type="paragraph" w:styleId="a8">
    <w:name w:val="Normal (Web)"/>
    <w:basedOn w:val="a"/>
    <w:uiPriority w:val="99"/>
    <w:unhideWhenUsed/>
    <w:rsid w:val="00CB7D0C"/>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B7D0C"/>
    <w:rPr>
      <w:b/>
      <w:bCs/>
    </w:rPr>
  </w:style>
  <w:style w:type="paragraph" w:styleId="aa">
    <w:name w:val="Balloon Text"/>
    <w:basedOn w:val="a"/>
    <w:link w:val="Char1"/>
    <w:uiPriority w:val="99"/>
    <w:semiHidden/>
    <w:unhideWhenUsed/>
    <w:rsid w:val="00CB7D0C"/>
    <w:rPr>
      <w:sz w:val="18"/>
      <w:szCs w:val="18"/>
    </w:rPr>
  </w:style>
  <w:style w:type="character" w:customStyle="1" w:styleId="Char1">
    <w:name w:val="批注框文本 Char"/>
    <w:basedOn w:val="a0"/>
    <w:link w:val="aa"/>
    <w:uiPriority w:val="99"/>
    <w:semiHidden/>
    <w:rsid w:val="00CB7D0C"/>
    <w:rPr>
      <w:sz w:val="18"/>
      <w:szCs w:val="18"/>
    </w:rPr>
  </w:style>
</w:styles>
</file>

<file path=word/webSettings.xml><?xml version="1.0" encoding="utf-8"?>
<w:webSettings xmlns:r="http://schemas.openxmlformats.org/officeDocument/2006/relationships" xmlns:w="http://schemas.openxmlformats.org/wordprocessingml/2006/main">
  <w:divs>
    <w:div w:id="1038090861">
      <w:bodyDiv w:val="1"/>
      <w:marLeft w:val="0"/>
      <w:marRight w:val="0"/>
      <w:marTop w:val="0"/>
      <w:marBottom w:val="0"/>
      <w:divBdr>
        <w:top w:val="none" w:sz="0" w:space="0" w:color="auto"/>
        <w:left w:val="none" w:sz="0" w:space="0" w:color="auto"/>
        <w:bottom w:val="none" w:sz="0" w:space="0" w:color="auto"/>
        <w:right w:val="none" w:sz="0" w:space="0" w:color="auto"/>
      </w:divBdr>
      <w:divsChild>
        <w:div w:id="99877558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2208</Words>
  <Characters>12588</Characters>
  <Application>Microsoft Office Word</Application>
  <DocSecurity>0</DocSecurity>
  <Lines>104</Lines>
  <Paragraphs>29</Paragraphs>
  <ScaleCrop>false</ScaleCrop>
  <Company>Win7_64</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Win7_64</dc:creator>
  <cp:lastModifiedBy>Win7_64</cp:lastModifiedBy>
  <cp:revision>2</cp:revision>
  <dcterms:created xsi:type="dcterms:W3CDTF">2019-04-14T07:29:00Z</dcterms:created>
  <dcterms:modified xsi:type="dcterms:W3CDTF">2019-04-14T07:29:00Z</dcterms:modified>
</cp:coreProperties>
</file>